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85944" w:rsidR="00BC0734" w:rsidP="007B6B6B" w:rsidRDefault="00A00538" w14:paraId="3DBE5E18" w14:textId="229C6AEF">
      <w:pPr>
        <w:pStyle w:val="Title"/>
        <w:jc w:val="both"/>
      </w:pPr>
      <w:bookmarkStart w:name="_Toc41381239" w:id="0"/>
      <w:r>
        <w:t>Sinking Fund Policy</w:t>
      </w:r>
    </w:p>
    <w:p w:rsidR="00BC0734" w:rsidP="007B6B6B" w:rsidRDefault="00BC0734" w14:paraId="298E9DB2" w14:textId="77777777">
      <w:pPr>
        <w:jc w:val="both"/>
        <w:rPr>
          <w:lang w:val="en-US"/>
        </w:rPr>
      </w:pPr>
    </w:p>
    <w:tbl>
      <w:tblPr>
        <w:tblStyle w:val="TableGrid"/>
        <w:tblW w:w="0" w:type="auto"/>
        <w:tblLook w:val="04A0" w:firstRow="1" w:lastRow="0" w:firstColumn="1" w:lastColumn="0" w:noHBand="0" w:noVBand="1"/>
      </w:tblPr>
      <w:tblGrid>
        <w:gridCol w:w="2547"/>
        <w:gridCol w:w="7903"/>
      </w:tblGrid>
      <w:tr w:rsidRPr="002103E5" w:rsidR="002103E5" w:rsidTr="095827AB" w14:paraId="3C051C70" w14:textId="77777777">
        <w:trPr>
          <w:trHeight w:val="363"/>
        </w:trPr>
        <w:tc>
          <w:tcPr>
            <w:tcW w:w="2547" w:type="dxa"/>
            <w:shd w:val="clear" w:color="auto" w:fill="E7E6E6" w:themeFill="background2"/>
          </w:tcPr>
          <w:p w:rsidRPr="0063782A" w:rsidR="005D38DB" w:rsidP="007B6B6B" w:rsidRDefault="005D38DB" w14:paraId="5F97138B" w14:textId="3FA97DB4">
            <w:pPr>
              <w:pStyle w:val="Heading4"/>
              <w:jc w:val="both"/>
            </w:pPr>
            <w:r w:rsidRPr="0063782A">
              <w:t>Document owner</w:t>
            </w:r>
          </w:p>
        </w:tc>
        <w:tc>
          <w:tcPr>
            <w:tcW w:w="7903" w:type="dxa"/>
          </w:tcPr>
          <w:p w:rsidRPr="002103E5" w:rsidR="005D38DB" w:rsidP="007B6B6B" w:rsidRDefault="0075657D" w14:paraId="41D5A419" w14:textId="7CC57FAD">
            <w:pPr>
              <w:jc w:val="both"/>
              <w:rPr>
                <w:color w:val="auto"/>
                <w:sz w:val="24"/>
                <w:lang w:val="en-US"/>
              </w:rPr>
            </w:pPr>
            <w:r>
              <w:rPr>
                <w:color w:val="auto"/>
                <w:sz w:val="24"/>
                <w:lang w:val="en-US"/>
              </w:rPr>
              <w:t>Michelle Brooks</w:t>
            </w:r>
          </w:p>
        </w:tc>
      </w:tr>
      <w:tr w:rsidRPr="002103E5" w:rsidR="002103E5" w:rsidTr="095827AB" w14:paraId="4E4E8F9A" w14:textId="77777777">
        <w:trPr>
          <w:trHeight w:val="363"/>
        </w:trPr>
        <w:tc>
          <w:tcPr>
            <w:tcW w:w="2547" w:type="dxa"/>
            <w:shd w:val="clear" w:color="auto" w:fill="E7E6E6" w:themeFill="background2"/>
          </w:tcPr>
          <w:p w:rsidRPr="0063782A" w:rsidR="005D38DB" w:rsidP="007B6B6B" w:rsidRDefault="005D38DB" w14:paraId="2B20C7DC" w14:textId="117C833E">
            <w:pPr>
              <w:pStyle w:val="Heading4"/>
              <w:jc w:val="both"/>
            </w:pPr>
            <w:r w:rsidRPr="0063782A">
              <w:t>Approved by</w:t>
            </w:r>
          </w:p>
        </w:tc>
        <w:tc>
          <w:tcPr>
            <w:tcW w:w="7903" w:type="dxa"/>
          </w:tcPr>
          <w:p w:rsidRPr="0075657D" w:rsidR="005D38DB" w:rsidP="007B6B6B" w:rsidRDefault="0075657D" w14:paraId="23A00E3A" w14:textId="47DB22F2">
            <w:pPr>
              <w:pStyle w:val="Heading2"/>
              <w:jc w:val="both"/>
              <w:rPr>
                <w:b w:val="0"/>
                <w:bCs/>
                <w:lang w:val="en-US"/>
              </w:rPr>
            </w:pPr>
            <w:r w:rsidRPr="0075657D">
              <w:rPr>
                <w:b w:val="0"/>
                <w:bCs/>
                <w:lang w:val="en-US"/>
              </w:rPr>
              <w:t xml:space="preserve">Redwing Management Team </w:t>
            </w:r>
          </w:p>
        </w:tc>
      </w:tr>
      <w:tr w:rsidRPr="002103E5" w:rsidR="002103E5" w:rsidTr="095827AB" w14:paraId="5D9B094F" w14:textId="77777777">
        <w:trPr>
          <w:trHeight w:val="363"/>
        </w:trPr>
        <w:tc>
          <w:tcPr>
            <w:tcW w:w="2547" w:type="dxa"/>
            <w:shd w:val="clear" w:color="auto" w:fill="E7E6E6" w:themeFill="background2"/>
          </w:tcPr>
          <w:p w:rsidRPr="0063782A" w:rsidR="005D38DB" w:rsidP="007B6B6B" w:rsidRDefault="002103E5" w14:paraId="36E7DA31" w14:textId="6177BACB">
            <w:pPr>
              <w:pStyle w:val="Heading4"/>
              <w:jc w:val="both"/>
            </w:pPr>
            <w:r w:rsidRPr="0063782A">
              <w:t>Approved date</w:t>
            </w:r>
          </w:p>
        </w:tc>
        <w:tc>
          <w:tcPr>
            <w:tcW w:w="7903" w:type="dxa"/>
          </w:tcPr>
          <w:p w:rsidRPr="002103E5" w:rsidR="005D38DB" w:rsidP="095827AB" w:rsidRDefault="00A56FF4" w14:paraId="77AA5C12" w14:textId="53321136">
            <w:pPr>
              <w:jc w:val="both"/>
              <w:rPr>
                <w:color w:val="auto"/>
                <w:sz w:val="24"/>
                <w:lang w:val="en-US"/>
              </w:rPr>
            </w:pPr>
            <w:r>
              <w:rPr>
                <w:color w:val="auto"/>
                <w:sz w:val="24"/>
                <w:lang w:val="en-US"/>
              </w:rPr>
              <w:t>September</w:t>
            </w:r>
            <w:r w:rsidRPr="095827AB" w:rsidR="499AE70E">
              <w:rPr>
                <w:color w:val="auto"/>
                <w:sz w:val="24"/>
                <w:lang w:val="en-US"/>
              </w:rPr>
              <w:t xml:space="preserve"> 202</w:t>
            </w:r>
            <w:r w:rsidRPr="095827AB" w:rsidR="00D27FC6">
              <w:rPr>
                <w:color w:val="auto"/>
                <w:sz w:val="24"/>
                <w:lang w:val="en-US"/>
              </w:rPr>
              <w:t>5</w:t>
            </w:r>
          </w:p>
        </w:tc>
      </w:tr>
      <w:tr w:rsidRPr="002103E5" w:rsidR="00BC0734" w:rsidTr="095827AB" w14:paraId="76DAD706" w14:textId="77777777">
        <w:trPr>
          <w:trHeight w:val="363"/>
        </w:trPr>
        <w:tc>
          <w:tcPr>
            <w:tcW w:w="2547" w:type="dxa"/>
            <w:shd w:val="clear" w:color="auto" w:fill="E7E6E6" w:themeFill="background2"/>
          </w:tcPr>
          <w:p w:rsidRPr="0063782A" w:rsidR="002103E5" w:rsidP="007B6B6B" w:rsidRDefault="002103E5" w14:paraId="3A9258F2" w14:textId="788EBCF5">
            <w:pPr>
              <w:pStyle w:val="Heading4"/>
              <w:jc w:val="both"/>
            </w:pPr>
            <w:r w:rsidRPr="0063782A">
              <w:t>Review date</w:t>
            </w:r>
          </w:p>
        </w:tc>
        <w:tc>
          <w:tcPr>
            <w:tcW w:w="7903" w:type="dxa"/>
          </w:tcPr>
          <w:p w:rsidRPr="002103E5" w:rsidR="002103E5" w:rsidP="095827AB" w:rsidRDefault="00A56FF4" w14:paraId="1B6B1A40" w14:textId="0967119F">
            <w:pPr>
              <w:jc w:val="both"/>
              <w:rPr>
                <w:color w:val="auto"/>
                <w:sz w:val="24"/>
                <w:lang w:val="en-US"/>
              </w:rPr>
            </w:pPr>
            <w:r>
              <w:rPr>
                <w:color w:val="auto"/>
                <w:sz w:val="24"/>
                <w:lang w:val="en-US"/>
              </w:rPr>
              <w:t xml:space="preserve">September </w:t>
            </w:r>
            <w:r w:rsidRPr="095827AB" w:rsidR="2DF3A769">
              <w:rPr>
                <w:color w:val="auto"/>
                <w:sz w:val="24"/>
                <w:lang w:val="en-US"/>
              </w:rPr>
              <w:t>202</w:t>
            </w:r>
            <w:r w:rsidRPr="095827AB" w:rsidR="06783964">
              <w:rPr>
                <w:color w:val="auto"/>
                <w:sz w:val="24"/>
                <w:lang w:val="en-US"/>
              </w:rPr>
              <w:t>7</w:t>
            </w:r>
          </w:p>
        </w:tc>
      </w:tr>
      <w:tr w:rsidRPr="002103E5" w:rsidR="002103E5" w:rsidTr="095827AB" w14:paraId="0E84C69B" w14:textId="77777777">
        <w:trPr>
          <w:trHeight w:val="363"/>
        </w:trPr>
        <w:tc>
          <w:tcPr>
            <w:tcW w:w="2547" w:type="dxa"/>
            <w:shd w:val="clear" w:color="auto" w:fill="E7E6E6" w:themeFill="background2"/>
          </w:tcPr>
          <w:p w:rsidRPr="0063782A" w:rsidR="002103E5" w:rsidP="007B6B6B" w:rsidRDefault="002103E5" w14:paraId="333C2637" w14:textId="4912DC53">
            <w:pPr>
              <w:pStyle w:val="Heading4"/>
              <w:jc w:val="both"/>
            </w:pPr>
            <w:r w:rsidRPr="0063782A">
              <w:t>Version</w:t>
            </w:r>
          </w:p>
        </w:tc>
        <w:tc>
          <w:tcPr>
            <w:tcW w:w="7903" w:type="dxa"/>
          </w:tcPr>
          <w:p w:rsidRPr="002103E5" w:rsidR="002103E5" w:rsidP="007B6B6B" w:rsidRDefault="7C04952F" w14:paraId="2592DF14" w14:textId="2FDD115F">
            <w:pPr>
              <w:jc w:val="both"/>
              <w:rPr>
                <w:color w:val="auto"/>
                <w:lang w:val="en-US"/>
              </w:rPr>
            </w:pPr>
            <w:r w:rsidRPr="0BD6EF67">
              <w:rPr>
                <w:color w:val="auto"/>
                <w:lang w:val="en-US"/>
              </w:rPr>
              <w:t>V1</w:t>
            </w:r>
          </w:p>
        </w:tc>
      </w:tr>
      <w:tr w:rsidRPr="002103E5" w:rsidR="002103E5" w:rsidTr="095827AB" w14:paraId="560E2B48" w14:textId="77777777">
        <w:trPr>
          <w:trHeight w:val="363"/>
        </w:trPr>
        <w:tc>
          <w:tcPr>
            <w:tcW w:w="2547" w:type="dxa"/>
            <w:shd w:val="clear" w:color="auto" w:fill="E7E6E6" w:themeFill="background2"/>
          </w:tcPr>
          <w:p w:rsidRPr="0063782A" w:rsidR="002103E5" w:rsidP="007B6B6B" w:rsidRDefault="002103E5" w14:paraId="3D27F083" w14:textId="51D5AB45">
            <w:pPr>
              <w:pStyle w:val="Heading4"/>
              <w:jc w:val="both"/>
            </w:pPr>
            <w:r w:rsidRPr="0063782A">
              <w:t>Scope</w:t>
            </w:r>
          </w:p>
        </w:tc>
        <w:tc>
          <w:tcPr>
            <w:tcW w:w="7903" w:type="dxa"/>
          </w:tcPr>
          <w:p w:rsidRPr="002103E5" w:rsidR="002103E5" w:rsidP="007B6B6B" w:rsidRDefault="349A98CE" w14:paraId="404299AC" w14:textId="526F501C">
            <w:pPr>
              <w:jc w:val="both"/>
              <w:rPr>
                <w:rFonts w:eastAsia="Verdana" w:cs="Verdana"/>
                <w:szCs w:val="22"/>
                <w:lang w:val="en-US"/>
              </w:rPr>
            </w:pPr>
            <w:r w:rsidRPr="6E6DE770">
              <w:rPr>
                <w:rFonts w:eastAsia="Verdana" w:cs="Verdana"/>
                <w:szCs w:val="22"/>
                <w:lang w:val="en-US"/>
              </w:rPr>
              <w:t xml:space="preserve">This policy sets out the approach to </w:t>
            </w:r>
            <w:r w:rsidRPr="6E6DE770" w:rsidR="318674BF">
              <w:rPr>
                <w:rFonts w:eastAsia="Verdana" w:cs="Verdana"/>
                <w:szCs w:val="22"/>
                <w:lang w:val="en-US"/>
              </w:rPr>
              <w:t>investment</w:t>
            </w:r>
            <w:r w:rsidRPr="6E6DE770">
              <w:rPr>
                <w:rFonts w:eastAsia="Verdana" w:cs="Verdana"/>
                <w:szCs w:val="22"/>
                <w:lang w:val="en-US"/>
              </w:rPr>
              <w:t xml:space="preserve"> </w:t>
            </w:r>
            <w:r w:rsidRPr="6E6DE770" w:rsidR="0AC07677">
              <w:rPr>
                <w:rFonts w:eastAsia="Verdana" w:cs="Verdana"/>
                <w:szCs w:val="22"/>
                <w:lang w:val="en-US"/>
              </w:rPr>
              <w:t xml:space="preserve">and cyclical works funded using </w:t>
            </w:r>
            <w:r w:rsidRPr="6E6DE770">
              <w:rPr>
                <w:rFonts w:eastAsia="Verdana" w:cs="Verdana"/>
                <w:szCs w:val="22"/>
                <w:lang w:val="en-US"/>
              </w:rPr>
              <w:t>sinking</w:t>
            </w:r>
            <w:r w:rsidRPr="6E6DE770" w:rsidR="1F0B9D4C">
              <w:rPr>
                <w:rFonts w:eastAsia="Verdana" w:cs="Verdana"/>
                <w:szCs w:val="22"/>
                <w:lang w:val="en-US"/>
              </w:rPr>
              <w:t xml:space="preserve"> and reserve</w:t>
            </w:r>
            <w:r w:rsidRPr="6E6DE770">
              <w:rPr>
                <w:rFonts w:eastAsia="Verdana" w:cs="Verdana"/>
                <w:szCs w:val="22"/>
                <w:lang w:val="en-US"/>
              </w:rPr>
              <w:t xml:space="preserve"> fund</w:t>
            </w:r>
            <w:r w:rsidRPr="6E6DE770" w:rsidR="1C2ADC10">
              <w:rPr>
                <w:rFonts w:eastAsia="Verdana" w:cs="Verdana"/>
                <w:szCs w:val="22"/>
                <w:lang w:val="en-US"/>
              </w:rPr>
              <w:t>s</w:t>
            </w:r>
            <w:r w:rsidR="00683392">
              <w:rPr>
                <w:rFonts w:eastAsia="Verdana" w:cs="Verdana"/>
                <w:szCs w:val="22"/>
                <w:lang w:val="en-US"/>
              </w:rPr>
              <w:t>,</w:t>
            </w:r>
            <w:r w:rsidRPr="6E6DE770" w:rsidR="648752EB">
              <w:rPr>
                <w:rFonts w:eastAsia="Verdana" w:cs="Verdana"/>
                <w:szCs w:val="22"/>
                <w:lang w:val="en-US"/>
              </w:rPr>
              <w:t xml:space="preserve"> </w:t>
            </w:r>
            <w:r w:rsidRPr="6E6DE770">
              <w:rPr>
                <w:rFonts w:eastAsia="Verdana" w:cs="Verdana"/>
                <w:szCs w:val="22"/>
                <w:lang w:val="en-US"/>
              </w:rPr>
              <w:t xml:space="preserve">delivered to </w:t>
            </w:r>
            <w:r w:rsidRPr="6E6DE770" w:rsidR="33A05215">
              <w:rPr>
                <w:rFonts w:eastAsia="Verdana" w:cs="Verdana"/>
                <w:szCs w:val="22"/>
                <w:lang w:val="en-US"/>
              </w:rPr>
              <w:t>leasehold</w:t>
            </w:r>
            <w:r w:rsidRPr="6E6DE770" w:rsidR="054670A0">
              <w:rPr>
                <w:rFonts w:eastAsia="Verdana" w:cs="Verdana"/>
                <w:szCs w:val="22"/>
                <w:lang w:val="en-US"/>
              </w:rPr>
              <w:t>ers</w:t>
            </w:r>
            <w:r w:rsidRPr="6E6DE770" w:rsidR="33A05215">
              <w:rPr>
                <w:rFonts w:eastAsia="Verdana" w:cs="Verdana"/>
                <w:szCs w:val="22"/>
                <w:lang w:val="en-US"/>
              </w:rPr>
              <w:t xml:space="preserve"> </w:t>
            </w:r>
            <w:r w:rsidRPr="6E6DE770" w:rsidR="26EEBEB0">
              <w:rPr>
                <w:rFonts w:eastAsia="Verdana" w:cs="Verdana"/>
                <w:szCs w:val="22"/>
                <w:lang w:val="en-US"/>
              </w:rPr>
              <w:t xml:space="preserve">managed </w:t>
            </w:r>
            <w:r w:rsidRPr="6E6DE770">
              <w:rPr>
                <w:rFonts w:eastAsia="Verdana" w:cs="Verdana"/>
                <w:szCs w:val="22"/>
                <w:lang w:val="en-US"/>
              </w:rPr>
              <w:t xml:space="preserve">under </w:t>
            </w:r>
            <w:r w:rsidRPr="6E6DE770" w:rsidR="15CB0B05">
              <w:rPr>
                <w:rFonts w:eastAsia="Verdana" w:cs="Verdana"/>
                <w:szCs w:val="22"/>
                <w:lang w:val="en-US"/>
              </w:rPr>
              <w:t xml:space="preserve">the </w:t>
            </w:r>
            <w:r w:rsidRPr="6E6DE770" w:rsidR="3FAE5FA5">
              <w:rPr>
                <w:rFonts w:eastAsia="Verdana" w:cs="Verdana"/>
                <w:szCs w:val="22"/>
                <w:lang w:val="en-US"/>
              </w:rPr>
              <w:t>Redwing</w:t>
            </w:r>
            <w:r w:rsidRPr="6E6DE770">
              <w:rPr>
                <w:rFonts w:eastAsia="Verdana" w:cs="Verdana"/>
                <w:szCs w:val="22"/>
                <w:lang w:val="en-US"/>
              </w:rPr>
              <w:t xml:space="preserve"> portfolio. </w:t>
            </w:r>
            <w:r w:rsidR="002D2DCB">
              <w:rPr>
                <w:rFonts w:eastAsia="Verdana" w:cs="Verdana"/>
                <w:szCs w:val="22"/>
                <w:lang w:val="en-US"/>
              </w:rPr>
              <w:t xml:space="preserve">This </w:t>
            </w:r>
            <w:r w:rsidR="007D53EE">
              <w:rPr>
                <w:rFonts w:eastAsia="Verdana" w:cs="Verdana"/>
                <w:szCs w:val="22"/>
                <w:lang w:val="en-US"/>
              </w:rPr>
              <w:t xml:space="preserve">does not apply to </w:t>
            </w:r>
            <w:r w:rsidR="00225B86">
              <w:rPr>
                <w:rFonts w:eastAsia="Verdana" w:cs="Verdana"/>
                <w:szCs w:val="22"/>
                <w:lang w:val="en-US"/>
              </w:rPr>
              <w:t>properties managed by Regenda Homes.</w:t>
            </w:r>
          </w:p>
        </w:tc>
      </w:tr>
    </w:tbl>
    <w:p w:rsidR="006B21CA" w:rsidP="007B6B6B" w:rsidRDefault="00776069" w14:paraId="3B27CB13" w14:textId="5BAB4CF8">
      <w:pPr>
        <w:pStyle w:val="Heading1"/>
        <w:numPr>
          <w:ilvl w:val="0"/>
          <w:numId w:val="36"/>
        </w:numPr>
        <w:jc w:val="both"/>
        <w:rPr>
          <w:lang w:bidi="en-GB"/>
        </w:rPr>
      </w:pPr>
      <w:bookmarkStart w:name="_Toc88569001" w:id="1"/>
      <w:r>
        <w:rPr>
          <w:lang w:bidi="en-GB"/>
        </w:rPr>
        <w:t xml:space="preserve"> </w:t>
      </w:r>
      <w:r w:rsidRPr="00707007" w:rsidR="006B21CA">
        <w:rPr>
          <w:lang w:bidi="en-GB"/>
        </w:rPr>
        <w:t>Introduction/ policy statement</w:t>
      </w:r>
      <w:bookmarkEnd w:id="0"/>
      <w:bookmarkEnd w:id="1"/>
    </w:p>
    <w:p w:rsidR="009E0F65" w:rsidP="007B6B6B" w:rsidRDefault="009E0F65" w14:paraId="75479677" w14:textId="77777777">
      <w:pPr>
        <w:jc w:val="both"/>
        <w:rPr>
          <w:lang w:bidi="en-GB"/>
        </w:rPr>
      </w:pPr>
    </w:p>
    <w:p w:rsidRPr="009E0F65" w:rsidR="009E0F65" w:rsidP="007B6B6B" w:rsidRDefault="009E0F65" w14:paraId="55BBADC6" w14:textId="31996193">
      <w:pPr>
        <w:pStyle w:val="paragraph"/>
        <w:spacing w:before="0" w:beforeAutospacing="0" w:after="0" w:afterAutospacing="0"/>
        <w:jc w:val="both"/>
        <w:textAlignment w:val="baseline"/>
        <w:rPr>
          <w:rStyle w:val="eop"/>
          <w:rFonts w:ascii="Verdana" w:hAnsi="Verdana" w:eastAsia="Verdana" w:cs="Verdana"/>
          <w:sz w:val="22"/>
          <w:szCs w:val="22"/>
        </w:rPr>
      </w:pPr>
      <w:r w:rsidRPr="40D7C078">
        <w:rPr>
          <w:rStyle w:val="normaltextrun"/>
          <w:rFonts w:ascii="Verdana" w:hAnsi="Verdana" w:eastAsia="Verdana" w:cs="Verdana"/>
          <w:sz w:val="22"/>
          <w:szCs w:val="22"/>
        </w:rPr>
        <w:t xml:space="preserve">This policy will outline </w:t>
      </w:r>
      <w:r w:rsidR="00404EAC">
        <w:rPr>
          <w:rStyle w:val="normaltextrun"/>
          <w:rFonts w:ascii="Verdana" w:hAnsi="Verdana" w:eastAsia="Verdana" w:cs="Verdana"/>
          <w:sz w:val="22"/>
          <w:szCs w:val="22"/>
        </w:rPr>
        <w:t>R</w:t>
      </w:r>
      <w:r w:rsidRPr="40D7C078">
        <w:rPr>
          <w:rStyle w:val="normaltextrun"/>
          <w:rFonts w:ascii="Verdana" w:hAnsi="Verdana" w:eastAsia="Verdana" w:cs="Verdana"/>
          <w:sz w:val="22"/>
          <w:szCs w:val="22"/>
        </w:rPr>
        <w:t xml:space="preserve">edwing’s approach to maintaining </w:t>
      </w:r>
      <w:r w:rsidR="00404EAC">
        <w:rPr>
          <w:rStyle w:val="normaltextrun"/>
          <w:rFonts w:ascii="Verdana" w:hAnsi="Verdana" w:eastAsia="Verdana" w:cs="Verdana"/>
          <w:sz w:val="22"/>
          <w:szCs w:val="22"/>
        </w:rPr>
        <w:t xml:space="preserve">sinking funds and </w:t>
      </w:r>
      <w:r w:rsidRPr="40D7C078">
        <w:rPr>
          <w:rStyle w:val="normaltextrun"/>
          <w:rFonts w:ascii="Verdana" w:hAnsi="Verdana" w:eastAsia="Verdana" w:cs="Verdana"/>
          <w:sz w:val="22"/>
          <w:szCs w:val="22"/>
        </w:rPr>
        <w:t xml:space="preserve">reserve funds to ensure that there are sufficient funds available to cover major works and renewals in accordance with the lease agreement. </w:t>
      </w:r>
      <w:r w:rsidRPr="40D7C078">
        <w:rPr>
          <w:rFonts w:ascii="Verdana" w:hAnsi="Verdana" w:eastAsia="Verdana" w:cs="Verdana"/>
          <w:sz w:val="22"/>
          <w:szCs w:val="22"/>
        </w:rPr>
        <w:t>This policy is intended to ensure that the funds are managed</w:t>
      </w:r>
      <w:r w:rsidR="00404EAC">
        <w:rPr>
          <w:rFonts w:ascii="Verdana" w:hAnsi="Verdana" w:eastAsia="Verdana" w:cs="Verdana"/>
          <w:sz w:val="22"/>
          <w:szCs w:val="22"/>
        </w:rPr>
        <w:t xml:space="preserve"> in a way that</w:t>
      </w:r>
      <w:r w:rsidRPr="40D7C078">
        <w:rPr>
          <w:rFonts w:ascii="Verdana" w:hAnsi="Verdana" w:eastAsia="Verdana" w:cs="Verdana"/>
          <w:sz w:val="22"/>
          <w:szCs w:val="22"/>
        </w:rPr>
        <w:t>:</w:t>
      </w:r>
    </w:p>
    <w:p w:rsidRPr="009E0F65" w:rsidR="009E0F65" w:rsidP="007B6B6B" w:rsidRDefault="009E0F65" w14:paraId="1C067ACB" w14:textId="77777777">
      <w:pPr>
        <w:pStyle w:val="paragraph"/>
        <w:spacing w:before="0" w:beforeAutospacing="0" w:after="0" w:afterAutospacing="0"/>
        <w:jc w:val="both"/>
        <w:textAlignment w:val="baseline"/>
        <w:rPr>
          <w:rFonts w:ascii="Verdana" w:hAnsi="Verdana" w:eastAsia="Verdana" w:cs="Verdana"/>
          <w:sz w:val="22"/>
          <w:szCs w:val="22"/>
        </w:rPr>
      </w:pPr>
    </w:p>
    <w:p w:rsidRPr="009E0F65" w:rsidR="009E0F65" w:rsidP="007B6B6B" w:rsidRDefault="00404EAC" w14:paraId="3FA18CDF" w14:textId="7270DE5D">
      <w:pPr>
        <w:pStyle w:val="paragraph"/>
        <w:numPr>
          <w:ilvl w:val="0"/>
          <w:numId w:val="37"/>
        </w:numPr>
        <w:spacing w:before="0" w:beforeAutospacing="0" w:after="0" w:afterAutospacing="0"/>
        <w:ind w:left="1080" w:firstLine="0"/>
        <w:jc w:val="both"/>
        <w:textAlignment w:val="baseline"/>
        <w:rPr>
          <w:rFonts w:ascii="Verdana" w:hAnsi="Verdana" w:eastAsia="Verdana" w:cs="Verdana"/>
          <w:sz w:val="22"/>
          <w:szCs w:val="22"/>
        </w:rPr>
      </w:pPr>
      <w:r>
        <w:rPr>
          <w:rStyle w:val="eop"/>
          <w:rFonts w:ascii="Verdana" w:hAnsi="Verdana" w:eastAsia="Verdana" w:cs="Verdana"/>
          <w:sz w:val="22"/>
          <w:szCs w:val="22"/>
        </w:rPr>
        <w:t>Is f</w:t>
      </w:r>
      <w:r w:rsidRPr="40D7C078" w:rsidR="009E0F65">
        <w:rPr>
          <w:rStyle w:val="eop"/>
          <w:rFonts w:ascii="Verdana" w:hAnsi="Verdana" w:eastAsia="Verdana" w:cs="Verdana"/>
          <w:sz w:val="22"/>
          <w:szCs w:val="22"/>
        </w:rPr>
        <w:t>air and </w:t>
      </w:r>
      <w:r>
        <w:rPr>
          <w:rStyle w:val="eop"/>
          <w:rFonts w:ascii="Verdana" w:hAnsi="Verdana" w:eastAsia="Verdana" w:cs="Verdana"/>
          <w:sz w:val="22"/>
          <w:szCs w:val="22"/>
        </w:rPr>
        <w:t>transparent</w:t>
      </w:r>
    </w:p>
    <w:p w:rsidRPr="009E0F65" w:rsidR="009E0F65" w:rsidP="007B6B6B" w:rsidRDefault="009E0F65" w14:paraId="33A619A9" w14:textId="4E32E45A">
      <w:pPr>
        <w:pStyle w:val="paragraph"/>
        <w:numPr>
          <w:ilvl w:val="1"/>
          <w:numId w:val="37"/>
        </w:numPr>
        <w:spacing w:before="0" w:beforeAutospacing="0" w:after="0" w:afterAutospacing="0"/>
        <w:jc w:val="both"/>
        <w:textAlignment w:val="baseline"/>
        <w:rPr>
          <w:rFonts w:ascii="Verdana" w:hAnsi="Verdana" w:eastAsia="Verdana" w:cs="Verdana"/>
          <w:sz w:val="22"/>
          <w:szCs w:val="22"/>
        </w:rPr>
      </w:pPr>
      <w:r w:rsidRPr="40D7C078">
        <w:rPr>
          <w:rStyle w:val="normaltextrun"/>
          <w:rFonts w:ascii="Verdana" w:hAnsi="Verdana" w:eastAsia="Verdana" w:cs="Verdana"/>
          <w:sz w:val="22"/>
          <w:szCs w:val="22"/>
        </w:rPr>
        <w:t xml:space="preserve">Follows regulatory guidelines. </w:t>
      </w:r>
    </w:p>
    <w:p w:rsidRPr="009E0F65" w:rsidR="009E0F65" w:rsidP="007B6B6B" w:rsidRDefault="009E0F65" w14:paraId="06332949" w14:textId="116F2FF6">
      <w:pPr>
        <w:pStyle w:val="paragraph"/>
        <w:numPr>
          <w:ilvl w:val="0"/>
          <w:numId w:val="38"/>
        </w:numPr>
        <w:spacing w:before="0" w:beforeAutospacing="0" w:after="0" w:afterAutospacing="0"/>
        <w:ind w:left="1080" w:firstLine="0"/>
        <w:jc w:val="both"/>
        <w:textAlignment w:val="baseline"/>
        <w:rPr>
          <w:rFonts w:ascii="Verdana" w:hAnsi="Verdana" w:eastAsia="Verdana" w:cs="Verdana"/>
          <w:sz w:val="22"/>
          <w:szCs w:val="22"/>
        </w:rPr>
      </w:pPr>
      <w:r w:rsidRPr="40D7C078">
        <w:rPr>
          <w:rStyle w:val="normaltextrun"/>
          <w:rFonts w:ascii="Verdana" w:hAnsi="Verdana" w:eastAsia="Verdana" w:cs="Verdana"/>
          <w:sz w:val="22"/>
          <w:szCs w:val="22"/>
        </w:rPr>
        <w:t>Adheres to GDPR legislation</w:t>
      </w:r>
      <w:r w:rsidRPr="40D7C078">
        <w:rPr>
          <w:rStyle w:val="eop"/>
          <w:rFonts w:ascii="Verdana" w:hAnsi="Verdana" w:eastAsia="Verdana" w:cs="Verdana"/>
          <w:sz w:val="22"/>
          <w:szCs w:val="22"/>
        </w:rPr>
        <w:t> </w:t>
      </w:r>
    </w:p>
    <w:p w:rsidRPr="009E0F65" w:rsidR="009E0F65" w:rsidP="007B6B6B" w:rsidRDefault="009E0F65" w14:paraId="73C39488" w14:textId="6F0F79E3">
      <w:pPr>
        <w:pStyle w:val="paragraph"/>
        <w:numPr>
          <w:ilvl w:val="0"/>
          <w:numId w:val="38"/>
        </w:numPr>
        <w:spacing w:before="0" w:beforeAutospacing="0" w:after="0" w:afterAutospacing="0"/>
        <w:ind w:left="1080" w:firstLine="0"/>
        <w:jc w:val="both"/>
        <w:textAlignment w:val="baseline"/>
        <w:rPr>
          <w:rStyle w:val="eop"/>
          <w:rFonts w:ascii="Verdana" w:hAnsi="Verdana" w:eastAsia="Verdana" w:cs="Verdana"/>
          <w:sz w:val="22"/>
          <w:szCs w:val="22"/>
        </w:rPr>
      </w:pPr>
      <w:r w:rsidRPr="40D7C078">
        <w:rPr>
          <w:rStyle w:val="normaltextrun"/>
          <w:rFonts w:ascii="Verdana" w:hAnsi="Verdana" w:eastAsia="Verdana" w:cs="Verdana"/>
          <w:sz w:val="22"/>
          <w:szCs w:val="22"/>
        </w:rPr>
        <w:t>Provide</w:t>
      </w:r>
      <w:r w:rsidR="00404EAC">
        <w:rPr>
          <w:rStyle w:val="normaltextrun"/>
          <w:rFonts w:ascii="Verdana" w:hAnsi="Verdana" w:eastAsia="Verdana" w:cs="Verdana"/>
          <w:sz w:val="22"/>
          <w:szCs w:val="22"/>
        </w:rPr>
        <w:t>s</w:t>
      </w:r>
      <w:r w:rsidRPr="40D7C078">
        <w:rPr>
          <w:rStyle w:val="normaltextrun"/>
          <w:rFonts w:ascii="Verdana" w:hAnsi="Verdana" w:eastAsia="Verdana" w:cs="Verdana"/>
          <w:sz w:val="22"/>
          <w:szCs w:val="22"/>
        </w:rPr>
        <w:t xml:space="preserve"> accurate information for all parties </w:t>
      </w:r>
      <w:r w:rsidRPr="40D7C078">
        <w:rPr>
          <w:rStyle w:val="eop"/>
          <w:rFonts w:ascii="Verdana" w:hAnsi="Verdana" w:eastAsia="Verdana" w:cs="Verdana"/>
          <w:sz w:val="22"/>
          <w:szCs w:val="22"/>
        </w:rPr>
        <w:t> </w:t>
      </w:r>
    </w:p>
    <w:p w:rsidRPr="009E0F65" w:rsidR="009E0F65" w:rsidP="007B6B6B" w:rsidRDefault="009E0F65" w14:paraId="31261C65" w14:textId="77777777">
      <w:pPr>
        <w:pStyle w:val="paragraph"/>
        <w:numPr>
          <w:ilvl w:val="0"/>
          <w:numId w:val="38"/>
        </w:numPr>
        <w:spacing w:before="0" w:beforeAutospacing="0" w:after="0" w:afterAutospacing="0"/>
        <w:ind w:left="1080" w:firstLine="0"/>
        <w:jc w:val="both"/>
        <w:textAlignment w:val="baseline"/>
        <w:rPr>
          <w:rStyle w:val="eop"/>
          <w:rFonts w:ascii="Verdana" w:hAnsi="Verdana" w:eastAsia="Verdana" w:cs="Verdana"/>
          <w:sz w:val="22"/>
          <w:szCs w:val="22"/>
        </w:rPr>
      </w:pPr>
      <w:r w:rsidRPr="40D7C078">
        <w:rPr>
          <w:rStyle w:val="eop"/>
          <w:rFonts w:ascii="Verdana" w:hAnsi="Verdana" w:eastAsia="Verdana" w:cs="Verdana"/>
          <w:sz w:val="22"/>
          <w:szCs w:val="22"/>
        </w:rPr>
        <w:t>Minimises any adverse financial impact on customers</w:t>
      </w:r>
    </w:p>
    <w:p w:rsidR="341E1D37" w:rsidP="007B6B6B" w:rsidRDefault="341E1D37" w14:paraId="2FAA5919" w14:textId="6AC91B5D">
      <w:pPr>
        <w:pStyle w:val="paragraph"/>
        <w:spacing w:before="0" w:beforeAutospacing="0" w:after="0" w:afterAutospacing="0"/>
        <w:jc w:val="both"/>
        <w:rPr>
          <w:rStyle w:val="eop"/>
          <w:rFonts w:ascii="Verdana" w:hAnsi="Verdana" w:eastAsia="Verdana" w:cs="Verdana"/>
          <w:sz w:val="22"/>
          <w:szCs w:val="22"/>
        </w:rPr>
      </w:pPr>
    </w:p>
    <w:p w:rsidR="56B6D8A1" w:rsidP="007B6B6B" w:rsidRDefault="56B6D8A1" w14:paraId="67CE6560" w14:textId="47910655">
      <w:pPr>
        <w:pStyle w:val="paragraph"/>
        <w:spacing w:before="0" w:beforeAutospacing="0" w:after="0" w:afterAutospacing="0" w:line="259" w:lineRule="auto"/>
        <w:jc w:val="both"/>
        <w:rPr>
          <w:rStyle w:val="normaltextrun"/>
          <w:rFonts w:ascii="Verdana" w:hAnsi="Verdana" w:eastAsia="Verdana" w:cs="Verdana"/>
          <w:sz w:val="22"/>
          <w:szCs w:val="22"/>
          <w:lang w:val="en-US"/>
        </w:rPr>
      </w:pPr>
      <w:r w:rsidRPr="40D7C078">
        <w:rPr>
          <w:rStyle w:val="normaltextrun"/>
          <w:rFonts w:ascii="Verdana" w:hAnsi="Verdana" w:eastAsia="Verdana" w:cs="Verdana"/>
          <w:sz w:val="22"/>
          <w:szCs w:val="22"/>
          <w:lang w:val="en-US"/>
        </w:rPr>
        <w:t xml:space="preserve">The </w:t>
      </w:r>
      <w:r w:rsidR="001853FB">
        <w:rPr>
          <w:rStyle w:val="normaltextrun"/>
          <w:rFonts w:ascii="Verdana" w:hAnsi="Verdana" w:eastAsia="Verdana" w:cs="Verdana"/>
          <w:sz w:val="22"/>
          <w:szCs w:val="22"/>
          <w:lang w:val="en-US"/>
        </w:rPr>
        <w:t>G</w:t>
      </w:r>
      <w:r w:rsidRPr="40D7C078">
        <w:rPr>
          <w:rStyle w:val="normaltextrun"/>
          <w:rFonts w:ascii="Verdana" w:hAnsi="Verdana" w:eastAsia="Verdana" w:cs="Verdana"/>
          <w:sz w:val="22"/>
          <w:szCs w:val="22"/>
          <w:lang w:val="en-US"/>
        </w:rPr>
        <w:t>roup</w:t>
      </w:r>
      <w:r w:rsidR="00404EAC">
        <w:rPr>
          <w:rStyle w:val="normaltextrun"/>
          <w:rFonts w:ascii="Verdana" w:hAnsi="Verdana" w:eastAsia="Verdana" w:cs="Verdana"/>
          <w:sz w:val="22"/>
          <w:szCs w:val="22"/>
          <w:lang w:val="en-US"/>
        </w:rPr>
        <w:t>’</w:t>
      </w:r>
      <w:r w:rsidRPr="40D7C078">
        <w:rPr>
          <w:rStyle w:val="normaltextrun"/>
          <w:rFonts w:ascii="Verdana" w:hAnsi="Verdana" w:eastAsia="Verdana" w:cs="Verdana"/>
          <w:sz w:val="22"/>
          <w:szCs w:val="22"/>
          <w:lang w:val="en-US"/>
        </w:rPr>
        <w:t>s objective is that under no circumstances should sinking funds and reserves fund balances fall into deficit.</w:t>
      </w:r>
    </w:p>
    <w:p w:rsidR="006B21CA" w:rsidP="007B6B6B" w:rsidRDefault="006B21CA" w14:paraId="37B7C2D2" w14:textId="383A16E9">
      <w:pPr>
        <w:pStyle w:val="Heading1"/>
        <w:numPr>
          <w:ilvl w:val="0"/>
          <w:numId w:val="36"/>
        </w:numPr>
        <w:jc w:val="both"/>
        <w:rPr>
          <w:lang w:bidi="en-GB"/>
        </w:rPr>
      </w:pPr>
      <w:bookmarkStart w:name="_Toc41381240" w:id="2"/>
      <w:bookmarkStart w:name="_Toc88569002" w:id="3"/>
      <w:r w:rsidRPr="00707007">
        <w:rPr>
          <w:lang w:bidi="en-GB"/>
        </w:rPr>
        <w:t>Definitions</w:t>
      </w:r>
      <w:bookmarkEnd w:id="2"/>
      <w:bookmarkEnd w:id="3"/>
    </w:p>
    <w:p w:rsidRPr="00551B1B" w:rsidR="008C7471" w:rsidP="007B6B6B" w:rsidRDefault="008C7471" w14:paraId="3C828579" w14:textId="77777777">
      <w:pPr>
        <w:jc w:val="both"/>
        <w:rPr>
          <w:b/>
          <w:bCs/>
          <w:lang w:bidi="en-GB"/>
        </w:rPr>
      </w:pPr>
    </w:p>
    <w:p w:rsidRPr="001B1DD5" w:rsidR="008C7471" w:rsidP="007B6B6B" w:rsidRDefault="008C7471" w14:paraId="00020EEA" w14:textId="36DEEF75">
      <w:pPr>
        <w:jc w:val="both"/>
        <w:rPr>
          <w:rFonts w:eastAsia="Tahoma" w:cs="Tahoma"/>
        </w:rPr>
      </w:pPr>
      <w:r w:rsidRPr="001B1DD5">
        <w:rPr>
          <w:rFonts w:eastAsia="Tahoma" w:cs="Tahoma"/>
          <w:b/>
          <w:bCs/>
        </w:rPr>
        <w:t>Sinking Fund</w:t>
      </w:r>
      <w:r w:rsidRPr="001B1DD5">
        <w:rPr>
          <w:rFonts w:eastAsia="Tahoma" w:cs="Tahoma"/>
        </w:rPr>
        <w:t xml:space="preserve"> - A sinking fund is a fund created to save money for infrequent, high value expenditure. It usually covers major structural works like roof and window renewals, or component renewals and refurbishments</w:t>
      </w:r>
      <w:r w:rsidR="0075029C">
        <w:rPr>
          <w:rFonts w:eastAsia="Tahoma" w:cs="Tahoma"/>
        </w:rPr>
        <w:t>,</w:t>
      </w:r>
      <w:r w:rsidRPr="001B1DD5">
        <w:rPr>
          <w:rFonts w:eastAsia="Tahoma" w:cs="Tahoma"/>
        </w:rPr>
        <w:t xml:space="preserve"> for example lifts or door entry systems. Sinking fund works are often referred to as </w:t>
      </w:r>
      <w:r w:rsidR="00404EAC">
        <w:rPr>
          <w:rFonts w:eastAsia="Tahoma" w:cs="Tahoma"/>
        </w:rPr>
        <w:t>c</w:t>
      </w:r>
      <w:r w:rsidRPr="001B1DD5">
        <w:rPr>
          <w:rFonts w:eastAsia="Tahoma" w:cs="Tahoma"/>
        </w:rPr>
        <w:t>apital works.</w:t>
      </w:r>
      <w:r w:rsidR="00404EAC">
        <w:rPr>
          <w:rFonts w:eastAsia="Tahoma" w:cs="Tahoma"/>
        </w:rPr>
        <w:t xml:space="preserve"> The individual leases may set out what the sinking fund can be used for.</w:t>
      </w:r>
    </w:p>
    <w:p w:rsidRPr="001B1DD5" w:rsidR="008C7471" w:rsidP="007B6B6B" w:rsidRDefault="008C7471" w14:paraId="015B17E1" w14:textId="77777777">
      <w:pPr>
        <w:jc w:val="both"/>
        <w:rPr>
          <w:rFonts w:eastAsia="Tahoma" w:cs="Tahoma"/>
        </w:rPr>
      </w:pPr>
    </w:p>
    <w:p w:rsidRPr="001B1DD5" w:rsidR="008C7471" w:rsidP="007B6B6B" w:rsidRDefault="008C7471" w14:paraId="4EE54BAB" w14:textId="787AE007">
      <w:pPr>
        <w:jc w:val="both"/>
        <w:rPr>
          <w:rFonts w:eastAsia="Tahoma" w:cs="Tahoma"/>
        </w:rPr>
      </w:pPr>
      <w:r w:rsidRPr="001B1DD5">
        <w:rPr>
          <w:rFonts w:eastAsia="Tahoma" w:cs="Tahoma"/>
          <w:b/>
          <w:bCs/>
        </w:rPr>
        <w:t>Reserve Fund</w:t>
      </w:r>
      <w:r w:rsidRPr="001B1DD5">
        <w:rPr>
          <w:rFonts w:eastAsia="Tahoma" w:cs="Tahoma"/>
        </w:rPr>
        <w:t xml:space="preserve"> - Reserve Funds</w:t>
      </w:r>
      <w:r w:rsidR="00404EAC">
        <w:rPr>
          <w:rFonts w:eastAsia="Tahoma" w:cs="Tahoma"/>
        </w:rPr>
        <w:t xml:space="preserve"> is a fund</w:t>
      </w:r>
      <w:r w:rsidRPr="001B1DD5">
        <w:rPr>
          <w:rFonts w:eastAsia="Tahoma" w:cs="Tahoma"/>
        </w:rPr>
        <w:t xml:space="preserve"> normally </w:t>
      </w:r>
      <w:r w:rsidR="00404EAC">
        <w:rPr>
          <w:rFonts w:eastAsia="Tahoma" w:cs="Tahoma"/>
        </w:rPr>
        <w:t>collected</w:t>
      </w:r>
      <w:r w:rsidRPr="001B1DD5">
        <w:rPr>
          <w:rFonts w:eastAsia="Tahoma" w:cs="Tahoma"/>
        </w:rPr>
        <w:t xml:space="preserve"> for maintenance that arises on a cyclical basis and are not normally covered by the sinking fund.  </w:t>
      </w:r>
      <w:r w:rsidR="00404EAC">
        <w:rPr>
          <w:rFonts w:eastAsia="Tahoma" w:cs="Tahoma"/>
        </w:rPr>
        <w:t>Examples of the costs covered</w:t>
      </w:r>
      <w:r w:rsidRPr="001B1DD5">
        <w:rPr>
          <w:rFonts w:eastAsia="Tahoma" w:cs="Tahoma"/>
        </w:rPr>
        <w:t xml:space="preserve"> can include renewal of communal floor coverings, and internal and external redecoration of communal areas, tree maintenance</w:t>
      </w:r>
      <w:r w:rsidRPr="001B1DD5" w:rsidR="004A040A">
        <w:rPr>
          <w:rFonts w:eastAsia="Tahoma" w:cs="Tahoma"/>
        </w:rPr>
        <w:t xml:space="preserve">. </w:t>
      </w:r>
      <w:r w:rsidR="00404EAC">
        <w:rPr>
          <w:rFonts w:eastAsia="Tahoma" w:cs="Tahoma"/>
        </w:rPr>
        <w:t>The leases may set out what the reserve fund can be used for.</w:t>
      </w:r>
      <w:r w:rsidR="002121EC">
        <w:rPr>
          <w:rFonts w:eastAsia="Tahoma" w:cs="Tahoma"/>
        </w:rPr>
        <w:t xml:space="preserve"> This previously</w:t>
      </w:r>
      <w:r w:rsidR="00D5126C">
        <w:rPr>
          <w:rFonts w:eastAsia="Tahoma" w:cs="Tahoma"/>
        </w:rPr>
        <w:t xml:space="preserve"> may have been called a</w:t>
      </w:r>
      <w:r w:rsidR="002121EC">
        <w:rPr>
          <w:rFonts w:eastAsia="Tahoma" w:cs="Tahoma"/>
        </w:rPr>
        <w:t xml:space="preserve"> cyclical fund.</w:t>
      </w:r>
      <w:r w:rsidR="00404EAC">
        <w:rPr>
          <w:rFonts w:eastAsia="Tahoma" w:cs="Tahoma"/>
        </w:rPr>
        <w:t xml:space="preserve"> </w:t>
      </w:r>
    </w:p>
    <w:p w:rsidRPr="001B1DD5" w:rsidR="00551B1B" w:rsidP="007B6B6B" w:rsidRDefault="00551B1B" w14:paraId="3A2E3C06" w14:textId="77777777">
      <w:pPr>
        <w:jc w:val="both"/>
        <w:rPr>
          <w:rFonts w:eastAsia="Tahoma" w:cs="Tahoma"/>
        </w:rPr>
      </w:pPr>
    </w:p>
    <w:p w:rsidRPr="002121EC" w:rsidR="00551B1B" w:rsidP="007B6B6B" w:rsidRDefault="00551B1B" w14:paraId="0F72DE7D" w14:textId="7C56DD6D">
      <w:pPr>
        <w:jc w:val="both"/>
        <w:rPr>
          <w:rFonts w:eastAsia="Tahoma" w:cs="Tahoma"/>
          <w:color w:val="1F1F1F"/>
          <w:szCs w:val="22"/>
          <w:shd w:val="clear" w:color="auto" w:fill="FFFFFF"/>
        </w:rPr>
      </w:pPr>
      <w:r w:rsidRPr="00404EAC">
        <w:rPr>
          <w:rFonts w:eastAsia="Tahoma" w:cs="Tahoma"/>
          <w:b/>
          <w:bCs/>
          <w:szCs w:val="22"/>
        </w:rPr>
        <w:t>Payment on Exit</w:t>
      </w:r>
      <w:r w:rsidRPr="00404EAC" w:rsidR="00404EAC">
        <w:rPr>
          <w:rFonts w:eastAsia="Tahoma" w:cs="Tahoma"/>
          <w:b/>
          <w:bCs/>
          <w:szCs w:val="22"/>
        </w:rPr>
        <w:t xml:space="preserve"> (sometimes known as deferred sinking funds)</w:t>
      </w:r>
      <w:r w:rsidRPr="00404EAC">
        <w:rPr>
          <w:rFonts w:eastAsia="Tahoma" w:cs="Tahoma"/>
          <w:szCs w:val="22"/>
        </w:rPr>
        <w:t xml:space="preserve"> - Where a sinking fund on exit (or sale) arrangement is in place, a contribution to the fund must be made from the sales proceeds when the property is sold or transferred. The amount to pay is defined by the terms of each lease agreement</w:t>
      </w:r>
      <w:r w:rsidRPr="002121EC">
        <w:rPr>
          <w:rFonts w:eastAsia="Tahoma" w:cs="Tahoma"/>
          <w:color w:val="1F1F1F"/>
          <w:szCs w:val="22"/>
          <w:shd w:val="clear" w:color="auto" w:fill="FFFFFF"/>
        </w:rPr>
        <w:t>. </w:t>
      </w:r>
      <w:r w:rsidRPr="002121EC" w:rsidR="00404EAC">
        <w:rPr>
          <w:rFonts w:eastAsia="Tahoma" w:cs="Tahoma"/>
          <w:color w:val="1F1F1F"/>
          <w:szCs w:val="22"/>
          <w:shd w:val="clear" w:color="auto" w:fill="FFFFFF"/>
        </w:rPr>
        <w:t xml:space="preserve">It is usually based on a percentage of the </w:t>
      </w:r>
      <w:r w:rsidR="00975A34">
        <w:rPr>
          <w:rFonts w:eastAsia="Tahoma" w:cs="Tahoma"/>
          <w:color w:val="1F1F1F"/>
          <w:szCs w:val="22"/>
          <w:shd w:val="clear" w:color="auto" w:fill="FFFFFF"/>
        </w:rPr>
        <w:t xml:space="preserve">open </w:t>
      </w:r>
      <w:r w:rsidRPr="002121EC" w:rsidR="00404EAC">
        <w:rPr>
          <w:rFonts w:eastAsia="Tahoma" w:cs="Tahoma"/>
          <w:color w:val="1F1F1F"/>
          <w:szCs w:val="22"/>
          <w:shd w:val="clear" w:color="auto" w:fill="FFFFFF"/>
        </w:rPr>
        <w:t>market value on sale.</w:t>
      </w:r>
    </w:p>
    <w:p w:rsidRPr="001B1DD5" w:rsidR="00551B1B" w:rsidP="007B6B6B" w:rsidRDefault="00551B1B" w14:paraId="36E32772" w14:textId="77777777">
      <w:pPr>
        <w:jc w:val="both"/>
        <w:rPr>
          <w:rFonts w:eastAsia="Tahoma" w:cs="Tahoma"/>
          <w:b/>
          <w:bCs/>
        </w:rPr>
      </w:pPr>
    </w:p>
    <w:p w:rsidR="00551B1B" w:rsidP="007B6B6B" w:rsidRDefault="00551B1B" w14:paraId="4B58A400" w14:textId="77619405">
      <w:pPr>
        <w:jc w:val="both"/>
        <w:rPr>
          <w:rFonts w:eastAsia="Tahoma" w:cs="Tahoma"/>
        </w:rPr>
      </w:pPr>
      <w:r w:rsidRPr="001B1DD5">
        <w:rPr>
          <w:rFonts w:eastAsia="Tahoma" w:cs="Tahoma"/>
          <w:b/>
          <w:bCs/>
        </w:rPr>
        <w:t>Life Cycle Costings</w:t>
      </w:r>
      <w:r w:rsidRPr="001B1DD5" w:rsidR="0040653C">
        <w:rPr>
          <w:rFonts w:eastAsia="Tahoma" w:cs="Tahoma"/>
          <w:b/>
          <w:bCs/>
        </w:rPr>
        <w:t xml:space="preserve"> -</w:t>
      </w:r>
      <w:r w:rsidRPr="001B1DD5">
        <w:rPr>
          <w:rFonts w:eastAsia="Tahoma" w:cs="Tahoma"/>
          <w:b/>
          <w:bCs/>
        </w:rPr>
        <w:t xml:space="preserve"> </w:t>
      </w:r>
      <w:r w:rsidRPr="001B1DD5" w:rsidR="0040653C">
        <w:rPr>
          <w:rFonts w:eastAsia="Tahoma" w:cs="Tahoma"/>
        </w:rPr>
        <w:t>Life-cycle costing involves estimating the life of each component of the building or scheme and its replacement cost.</w:t>
      </w:r>
    </w:p>
    <w:p w:rsidR="00FA5BAC" w:rsidP="007B6B6B" w:rsidRDefault="00FA5BAC" w14:paraId="7AE9B118" w14:textId="77777777">
      <w:pPr>
        <w:jc w:val="both"/>
        <w:rPr>
          <w:rFonts w:eastAsia="Tahoma" w:cs="Tahoma"/>
        </w:rPr>
      </w:pPr>
    </w:p>
    <w:p w:rsidR="00FA5BAC" w:rsidP="007B6B6B" w:rsidRDefault="00FA5BAC" w14:paraId="7BE283A8" w14:textId="0CE2B2C5">
      <w:pPr>
        <w:jc w:val="both"/>
        <w:rPr>
          <w:rFonts w:eastAsia="Tahoma" w:cs="Tahoma"/>
        </w:rPr>
      </w:pPr>
      <w:r w:rsidRPr="095827AB">
        <w:rPr>
          <w:rFonts w:eastAsia="Tahoma" w:cs="Tahoma"/>
          <w:b/>
          <w:bCs/>
        </w:rPr>
        <w:t xml:space="preserve">Service Charge – </w:t>
      </w:r>
      <w:r w:rsidRPr="095827AB">
        <w:rPr>
          <w:rFonts w:eastAsia="Tahoma" w:cs="Tahoma"/>
        </w:rPr>
        <w:t xml:space="preserve">An amount payable </w:t>
      </w:r>
      <w:r w:rsidRPr="095827AB" w:rsidR="00076591">
        <w:rPr>
          <w:rFonts w:eastAsia="Tahoma" w:cs="Tahoma"/>
        </w:rPr>
        <w:t>by a leaseholder as part or in addition to rent in respect of services, repairs, maintenance,</w:t>
      </w:r>
      <w:r w:rsidRPr="095827AB" w:rsidR="00C2682A">
        <w:rPr>
          <w:rFonts w:eastAsia="Tahoma" w:cs="Tahoma"/>
        </w:rPr>
        <w:t xml:space="preserve"> insurance, improvements or costs of management.</w:t>
      </w:r>
      <w:r w:rsidRPr="095827AB" w:rsidR="005A06CF">
        <w:rPr>
          <w:rFonts w:eastAsia="Tahoma" w:cs="Tahoma"/>
        </w:rPr>
        <w:t xml:space="preserve"> Redwing service charges are variable</w:t>
      </w:r>
      <w:r w:rsidRPr="095827AB" w:rsidR="00C506EC">
        <w:rPr>
          <w:rFonts w:eastAsia="Tahoma" w:cs="Tahoma"/>
        </w:rPr>
        <w:t xml:space="preserve">, where the amount </w:t>
      </w:r>
      <w:r w:rsidRPr="095827AB" w:rsidR="00404EAC">
        <w:rPr>
          <w:rFonts w:eastAsia="Tahoma" w:cs="Tahoma"/>
        </w:rPr>
        <w:t xml:space="preserve">of the service charge </w:t>
      </w:r>
      <w:r w:rsidRPr="095827AB" w:rsidR="00C506EC">
        <w:rPr>
          <w:rFonts w:eastAsia="Tahoma" w:cs="Tahoma"/>
        </w:rPr>
        <w:t>var</w:t>
      </w:r>
      <w:r w:rsidRPr="095827AB" w:rsidR="00404EAC">
        <w:rPr>
          <w:rFonts w:eastAsia="Tahoma" w:cs="Tahoma"/>
        </w:rPr>
        <w:t>ies</w:t>
      </w:r>
      <w:r w:rsidRPr="095827AB" w:rsidR="00C506EC">
        <w:rPr>
          <w:rFonts w:eastAsia="Tahoma" w:cs="Tahoma"/>
        </w:rPr>
        <w:t xml:space="preserve"> according to the costs incurred.</w:t>
      </w:r>
    </w:p>
    <w:p w:rsidR="007B216C" w:rsidP="007B6B6B" w:rsidRDefault="007B216C" w14:paraId="1A6B7FCC" w14:textId="77777777">
      <w:pPr>
        <w:jc w:val="both"/>
        <w:rPr>
          <w:rFonts w:eastAsia="Tahoma" w:cs="Tahoma"/>
        </w:rPr>
      </w:pPr>
    </w:p>
    <w:p w:rsidRPr="00FA5BAC" w:rsidR="007B216C" w:rsidP="007B6B6B" w:rsidRDefault="007B216C" w14:paraId="46E91E9F" w14:textId="51C3A13C">
      <w:pPr>
        <w:jc w:val="both"/>
        <w:rPr>
          <w:rFonts w:eastAsia="Tahoma" w:cs="Tahoma"/>
        </w:rPr>
      </w:pPr>
      <w:r w:rsidRPr="0BD6EF67">
        <w:rPr>
          <w:rFonts w:eastAsia="Tahoma" w:cs="Tahoma"/>
          <w:b/>
          <w:bCs/>
        </w:rPr>
        <w:t xml:space="preserve">Reasonableness </w:t>
      </w:r>
      <w:r w:rsidRPr="0BD6EF67">
        <w:rPr>
          <w:rFonts w:eastAsia="Tahoma" w:cs="Tahoma"/>
        </w:rPr>
        <w:t xml:space="preserve">– To be fair </w:t>
      </w:r>
      <w:r w:rsidRPr="0BD6EF67" w:rsidR="007D4D58">
        <w:rPr>
          <w:rFonts w:eastAsia="Tahoma" w:cs="Tahoma"/>
        </w:rPr>
        <w:t>and reasonable having consideration for the circums</w:t>
      </w:r>
      <w:r w:rsidRPr="0BD6EF67" w:rsidR="349078EE">
        <w:rPr>
          <w:rFonts w:eastAsia="Tahoma" w:cs="Tahoma"/>
        </w:rPr>
        <w:t>t</w:t>
      </w:r>
      <w:r w:rsidRPr="0BD6EF67" w:rsidR="007D4D58">
        <w:rPr>
          <w:rFonts w:eastAsia="Tahoma" w:cs="Tahoma"/>
        </w:rPr>
        <w:t>ances</w:t>
      </w:r>
      <w:r w:rsidR="00404EAC">
        <w:rPr>
          <w:rFonts w:eastAsia="Tahoma" w:cs="Tahoma"/>
        </w:rPr>
        <w:t>, in particular, the work / service carried out and the cost involved</w:t>
      </w:r>
      <w:r w:rsidR="00472746">
        <w:rPr>
          <w:rFonts w:eastAsia="Tahoma" w:cs="Tahoma"/>
        </w:rPr>
        <w:t>.</w:t>
      </w:r>
      <w:r w:rsidR="00404EAC">
        <w:rPr>
          <w:rFonts w:eastAsia="Tahoma" w:cs="Tahoma"/>
        </w:rPr>
        <w:t xml:space="preserve">  </w:t>
      </w:r>
    </w:p>
    <w:p w:rsidR="0BD6EF67" w:rsidP="007B6B6B" w:rsidRDefault="0BD6EF67" w14:paraId="5B173989" w14:textId="22AF1DEB">
      <w:pPr>
        <w:jc w:val="both"/>
        <w:rPr>
          <w:rFonts w:eastAsia="Tahoma" w:cs="Tahoma"/>
        </w:rPr>
      </w:pPr>
    </w:p>
    <w:p w:rsidR="255760EF" w:rsidP="007B6B6B" w:rsidRDefault="255760EF" w14:paraId="755690F5" w14:textId="6962E49B">
      <w:pPr>
        <w:spacing w:line="259" w:lineRule="auto"/>
        <w:jc w:val="both"/>
        <w:rPr>
          <w:rFonts w:eastAsia="Tahoma" w:cs="Tahoma"/>
        </w:rPr>
      </w:pPr>
      <w:r w:rsidRPr="0BD6EF67">
        <w:rPr>
          <w:rFonts w:eastAsia="Tahoma" w:cs="Tahoma"/>
          <w:b/>
          <w:bCs/>
        </w:rPr>
        <w:t>Stock Condition Survey (SCS):</w:t>
      </w:r>
      <w:r w:rsidRPr="0BD6EF67">
        <w:rPr>
          <w:rFonts w:eastAsia="Tahoma" w:cs="Tahoma"/>
        </w:rPr>
        <w:t xml:space="preserve"> Contributions are based on a 30-year SCS, which includes life cycle costings for property elements.</w:t>
      </w:r>
      <w:r w:rsidR="00404EAC">
        <w:rPr>
          <w:rFonts w:eastAsia="Tahoma" w:cs="Tahoma"/>
        </w:rPr>
        <w:t xml:space="preserve"> </w:t>
      </w:r>
    </w:p>
    <w:p w:rsidR="0BD6EF67" w:rsidP="007B6B6B" w:rsidRDefault="0BD6EF67" w14:paraId="6D257FAF" w14:textId="16B28E17">
      <w:pPr>
        <w:spacing w:line="259" w:lineRule="auto"/>
        <w:jc w:val="both"/>
        <w:rPr>
          <w:rFonts w:eastAsia="Tahoma" w:cs="Tahoma"/>
          <w:b/>
          <w:bCs/>
        </w:rPr>
      </w:pPr>
    </w:p>
    <w:p w:rsidR="703E392D" w:rsidP="007B6B6B" w:rsidRDefault="703E392D" w14:paraId="1D870ED8" w14:textId="78B9857E">
      <w:pPr>
        <w:spacing w:line="259" w:lineRule="auto"/>
        <w:jc w:val="both"/>
        <w:rPr>
          <w:rFonts w:eastAsia="Tahoma" w:cs="Tahoma"/>
        </w:rPr>
      </w:pPr>
      <w:r w:rsidRPr="0BD6EF67">
        <w:rPr>
          <w:rFonts w:eastAsia="Tahoma" w:cs="Tahoma"/>
          <w:b/>
          <w:bCs/>
        </w:rPr>
        <w:t>Regulatory Compliance:</w:t>
      </w:r>
      <w:r w:rsidRPr="0BD6EF67">
        <w:rPr>
          <w:rFonts w:eastAsia="Tahoma" w:cs="Tahoma"/>
        </w:rPr>
        <w:t xml:space="preserve"> Funds will be managed in accordance with regulatory requirements.</w:t>
      </w:r>
      <w:r w:rsidR="00364290">
        <w:rPr>
          <w:rFonts w:eastAsia="Tahoma" w:cs="Tahoma"/>
        </w:rPr>
        <w:t xml:space="preserve"> </w:t>
      </w:r>
      <w:r w:rsidRPr="00364290" w:rsidR="00364290">
        <w:t>Regulatory compliance around sinking funds in the UK is shaped by leasehold law, consumer protection regulations, and best practice guidance from housing bodies.</w:t>
      </w:r>
    </w:p>
    <w:p w:rsidR="0BD6EF67" w:rsidP="007B6B6B" w:rsidRDefault="0BD6EF67" w14:paraId="6E8B826E" w14:textId="440475E8">
      <w:pPr>
        <w:spacing w:line="259" w:lineRule="auto"/>
        <w:jc w:val="both"/>
        <w:rPr>
          <w:rFonts w:eastAsia="Tahoma" w:cs="Tahoma"/>
        </w:rPr>
      </w:pPr>
    </w:p>
    <w:p w:rsidR="703E392D" w:rsidP="007B6B6B" w:rsidRDefault="703E392D" w14:paraId="0CEA3AFB" w14:textId="47AEE1AC">
      <w:pPr>
        <w:spacing w:line="259" w:lineRule="auto"/>
        <w:jc w:val="both"/>
        <w:rPr>
          <w:rFonts w:eastAsia="Tahoma" w:cs="Tahoma"/>
        </w:rPr>
      </w:pPr>
      <w:r w:rsidRPr="0BD6EF67">
        <w:rPr>
          <w:rFonts w:eastAsia="Tahoma" w:cs="Tahoma"/>
          <w:b/>
          <w:bCs/>
        </w:rPr>
        <w:t>Component Schedule:</w:t>
      </w:r>
      <w:r w:rsidRPr="0BD6EF67">
        <w:rPr>
          <w:rFonts w:eastAsia="Tahoma" w:cs="Tahoma"/>
        </w:rPr>
        <w:t xml:space="preserve"> Each development has a schedule detailing component costs and lifecycles.</w:t>
      </w:r>
    </w:p>
    <w:p w:rsidR="0057398D" w:rsidP="007B6B6B" w:rsidRDefault="0057398D" w14:paraId="5F4372E0" w14:textId="77777777">
      <w:pPr>
        <w:spacing w:line="259" w:lineRule="auto"/>
        <w:jc w:val="both"/>
        <w:rPr>
          <w:rFonts w:eastAsia="Tahoma" w:cs="Tahoma"/>
        </w:rPr>
      </w:pPr>
    </w:p>
    <w:p w:rsidRPr="00E971FC" w:rsidR="0057398D" w:rsidP="007B6B6B" w:rsidRDefault="0057398D" w14:paraId="0861DD93" w14:textId="2C3902BE">
      <w:pPr>
        <w:spacing w:line="259" w:lineRule="auto"/>
        <w:jc w:val="both"/>
        <w:rPr>
          <w:rFonts w:eastAsia="Tahoma" w:cs="Tahoma"/>
        </w:rPr>
      </w:pPr>
      <w:r w:rsidRPr="00E971FC">
        <w:rPr>
          <w:rFonts w:eastAsia="Tahoma" w:cs="Tahoma"/>
          <w:b/>
          <w:bCs/>
        </w:rPr>
        <w:t>GDPR</w:t>
      </w:r>
      <w:r>
        <w:rPr>
          <w:rFonts w:eastAsia="Tahoma" w:cs="Tahoma"/>
        </w:rPr>
        <w:t xml:space="preserve"> - </w:t>
      </w:r>
      <w:r w:rsidRPr="00E971FC" w:rsidR="00E971FC">
        <w:t>The General Data Protection Regulation (GDPR) is a comprehensive data protection law that governs how personal data is collected, used, stored, and shared. In the UK, it's known as the UK GDPR, which works alongside the Data Protection Act 2018.</w:t>
      </w:r>
    </w:p>
    <w:p w:rsidRPr="001B1DD5" w:rsidR="006B21CA" w:rsidP="007B6B6B" w:rsidRDefault="00776069" w14:paraId="7B6F79B1" w14:textId="114818E2">
      <w:pPr>
        <w:pStyle w:val="Heading1"/>
        <w:numPr>
          <w:ilvl w:val="0"/>
          <w:numId w:val="36"/>
        </w:numPr>
        <w:jc w:val="both"/>
        <w:rPr>
          <w:rFonts w:eastAsia="Tahoma" w:cs="Tahoma"/>
          <w:lang w:bidi="en-GB"/>
        </w:rPr>
      </w:pPr>
      <w:bookmarkStart w:name="_Toc41381241" w:id="4"/>
      <w:bookmarkStart w:name="_Toc88569003" w:id="5"/>
      <w:r w:rsidRPr="001B1DD5">
        <w:rPr>
          <w:rFonts w:eastAsia="Tahoma" w:cs="Tahoma"/>
          <w:lang w:bidi="en-GB"/>
        </w:rPr>
        <w:t xml:space="preserve"> </w:t>
      </w:r>
      <w:r w:rsidRPr="001B1DD5" w:rsidR="006B21CA">
        <w:rPr>
          <w:rFonts w:eastAsia="Tahoma" w:cs="Tahoma"/>
          <w:lang w:bidi="en-GB"/>
        </w:rPr>
        <w:t>Scope and exemptions</w:t>
      </w:r>
      <w:bookmarkEnd w:id="4"/>
      <w:bookmarkEnd w:id="5"/>
    </w:p>
    <w:p w:rsidRPr="001B1DD5" w:rsidR="008C7471" w:rsidP="007B6B6B" w:rsidRDefault="008C7471" w14:paraId="1DC857C9" w14:textId="77777777">
      <w:pPr>
        <w:jc w:val="both"/>
        <w:rPr>
          <w:rFonts w:eastAsia="Tahoma" w:cs="Tahoma"/>
          <w:lang w:bidi="en-GB"/>
        </w:rPr>
      </w:pPr>
    </w:p>
    <w:p w:rsidRPr="001B1DD5" w:rsidR="008C7471" w:rsidP="007B6B6B" w:rsidRDefault="008C7471" w14:paraId="0A3E9D58" w14:textId="31DFC49E">
      <w:pPr>
        <w:spacing w:after="160" w:line="259" w:lineRule="auto"/>
        <w:jc w:val="both"/>
        <w:rPr>
          <w:rFonts w:eastAsia="Tahoma" w:cs="Tahoma"/>
          <w:lang w:bidi="en-GB"/>
        </w:rPr>
      </w:pPr>
      <w:r w:rsidRPr="3E5E8E2D">
        <w:rPr>
          <w:rFonts w:eastAsia="Tahoma" w:cs="Tahoma"/>
        </w:rPr>
        <w:t>This is a Redwing specific policy</w:t>
      </w:r>
      <w:r w:rsidR="00E82244">
        <w:rPr>
          <w:rFonts w:eastAsia="Tahoma" w:cs="Tahoma"/>
        </w:rPr>
        <w:t xml:space="preserve"> for properties managed by Redwing</w:t>
      </w:r>
      <w:r w:rsidRPr="3E5E8E2D">
        <w:rPr>
          <w:rFonts w:eastAsia="Tahoma" w:cs="Tahoma"/>
        </w:rPr>
        <w:t xml:space="preserve">. Where other parts of the </w:t>
      </w:r>
      <w:r w:rsidR="00FB391E">
        <w:rPr>
          <w:rFonts w:eastAsia="Tahoma" w:cs="Tahoma"/>
        </w:rPr>
        <w:t>G</w:t>
      </w:r>
      <w:r w:rsidRPr="3E5E8E2D">
        <w:rPr>
          <w:rFonts w:eastAsia="Tahoma" w:cs="Tahoma"/>
        </w:rPr>
        <w:t>roup manage sinking funds</w:t>
      </w:r>
      <w:r w:rsidRPr="3E5E8E2D" w:rsidR="00404EAC">
        <w:rPr>
          <w:rFonts w:eastAsia="Tahoma" w:cs="Tahoma"/>
        </w:rPr>
        <w:t>,</w:t>
      </w:r>
      <w:r w:rsidRPr="3E5E8E2D">
        <w:rPr>
          <w:rFonts w:eastAsia="Tahoma" w:cs="Tahoma"/>
        </w:rPr>
        <w:t xml:space="preserve"> they will have their own policy and documented processes to reflect the needs of a diverse customer base and comply with individual operating practices and regulatory requirements.</w:t>
      </w:r>
    </w:p>
    <w:p w:rsidRPr="001B1DD5" w:rsidR="006B21CA" w:rsidP="007B6B6B" w:rsidRDefault="006B21CA" w14:paraId="14C5B096" w14:textId="31499B74">
      <w:pPr>
        <w:pStyle w:val="Heading1"/>
        <w:numPr>
          <w:ilvl w:val="0"/>
          <w:numId w:val="36"/>
        </w:numPr>
        <w:jc w:val="both"/>
        <w:rPr>
          <w:rFonts w:eastAsia="Tahoma" w:cs="Tahoma"/>
          <w:lang w:bidi="en-GB"/>
        </w:rPr>
      </w:pPr>
      <w:bookmarkStart w:name="_Toc41381242" w:id="6"/>
      <w:bookmarkStart w:name="_Toc88569004" w:id="7"/>
      <w:r w:rsidRPr="001B1DD5">
        <w:rPr>
          <w:rFonts w:eastAsia="Tahoma" w:cs="Tahoma"/>
          <w:lang w:bidi="en-GB"/>
        </w:rPr>
        <w:t>Policy detail</w:t>
      </w:r>
      <w:bookmarkEnd w:id="6"/>
      <w:bookmarkEnd w:id="7"/>
    </w:p>
    <w:p w:rsidR="40D7C078" w:rsidP="007B6B6B" w:rsidRDefault="40D7C078" w14:paraId="208F1D98" w14:textId="66C758E7">
      <w:pPr>
        <w:jc w:val="both"/>
      </w:pPr>
    </w:p>
    <w:p w:rsidRPr="001B1DD5" w:rsidR="00551B1B" w:rsidP="007B6B6B" w:rsidRDefault="538E4157" w14:paraId="49A66128" w14:textId="76093F71">
      <w:pPr>
        <w:pStyle w:val="Heading2"/>
        <w:numPr>
          <w:ilvl w:val="1"/>
          <w:numId w:val="36"/>
        </w:numPr>
        <w:ind w:hanging="792"/>
        <w:jc w:val="both"/>
        <w:rPr>
          <w:rFonts w:eastAsia="Tahoma" w:cs="Tahoma"/>
          <w:bCs/>
        </w:rPr>
      </w:pPr>
      <w:r w:rsidRPr="0BD6EF67">
        <w:rPr>
          <w:rFonts w:eastAsia="Tahoma" w:cs="Tahoma"/>
        </w:rPr>
        <w:t>Ca</w:t>
      </w:r>
      <w:r w:rsidRPr="0BD6EF67" w:rsidR="00551B1B">
        <w:rPr>
          <w:rFonts w:eastAsia="Tahoma" w:cs="Tahoma"/>
        </w:rPr>
        <w:t xml:space="preserve">lculating the sinking fund </w:t>
      </w:r>
      <w:r w:rsidRPr="0BD6EF67" w:rsidR="00926F13">
        <w:rPr>
          <w:rFonts w:eastAsia="Tahoma" w:cs="Tahoma"/>
        </w:rPr>
        <w:t xml:space="preserve">&amp; reserve </w:t>
      </w:r>
      <w:r w:rsidRPr="0BD6EF67" w:rsidR="00547F6D">
        <w:rPr>
          <w:rFonts w:eastAsia="Tahoma" w:cs="Tahoma"/>
        </w:rPr>
        <w:t xml:space="preserve">fund </w:t>
      </w:r>
      <w:r w:rsidRPr="0BD6EF67" w:rsidR="00551B1B">
        <w:rPr>
          <w:rFonts w:eastAsia="Tahoma" w:cs="Tahoma"/>
        </w:rPr>
        <w:t>contribution</w:t>
      </w:r>
      <w:r w:rsidRPr="0BD6EF67" w:rsidR="00547F6D">
        <w:rPr>
          <w:rFonts w:eastAsia="Tahoma" w:cs="Tahoma"/>
        </w:rPr>
        <w:t>s</w:t>
      </w:r>
    </w:p>
    <w:p w:rsidR="0BD6EF67" w:rsidP="007B6B6B" w:rsidRDefault="0BD6EF67" w14:paraId="0B13153C" w14:textId="119F9A36">
      <w:pPr>
        <w:jc w:val="both"/>
      </w:pPr>
    </w:p>
    <w:p w:rsidR="11152F9B" w:rsidP="007B6B6B" w:rsidRDefault="11152F9B" w14:paraId="060BE857" w14:textId="005AB2A9">
      <w:pPr>
        <w:shd w:val="clear" w:color="auto" w:fill="FFFFFF" w:themeFill="background1"/>
        <w:spacing w:after="210"/>
        <w:jc w:val="both"/>
        <w:rPr>
          <w:rStyle w:val="legschedulenolegheadingref1"/>
          <w:rFonts w:eastAsia="Verdana" w:cs="Verdana"/>
          <w:sz w:val="22"/>
          <w:szCs w:val="22"/>
        </w:rPr>
      </w:pPr>
      <w:r w:rsidRPr="66135721">
        <w:rPr>
          <w:rStyle w:val="legschedulenolegheadingref1"/>
          <w:rFonts w:eastAsia="Verdana" w:cs="Verdana"/>
          <w:sz w:val="22"/>
          <w:szCs w:val="22"/>
          <w:specVanish w:val="0"/>
        </w:rPr>
        <w:t>Where the lease allows</w:t>
      </w:r>
      <w:r w:rsidR="00404EAC">
        <w:rPr>
          <w:rStyle w:val="legschedulenolegheadingref1"/>
          <w:rFonts w:eastAsia="Verdana" w:cs="Verdana"/>
          <w:sz w:val="22"/>
          <w:szCs w:val="22"/>
          <w:specVanish w:val="0"/>
        </w:rPr>
        <w:t>,</w:t>
      </w:r>
      <w:r w:rsidRPr="66135721">
        <w:rPr>
          <w:rStyle w:val="legschedulenolegheadingref1"/>
          <w:rFonts w:eastAsia="Verdana" w:cs="Verdana"/>
          <w:sz w:val="22"/>
          <w:szCs w:val="22"/>
          <w:specVanish w:val="0"/>
        </w:rPr>
        <w:t xml:space="preserve"> Redwing will charge all homeowners a regular monthly contribution to both a sinking fund and a </w:t>
      </w:r>
      <w:r w:rsidR="00975A34">
        <w:rPr>
          <w:rStyle w:val="legschedulenolegheadingref1"/>
          <w:rFonts w:eastAsia="Verdana" w:cs="Verdana"/>
          <w:sz w:val="22"/>
          <w:szCs w:val="22"/>
          <w:specVanish w:val="0"/>
        </w:rPr>
        <w:t>reserve fund (also known as a cyclical fund)</w:t>
      </w:r>
      <w:r w:rsidRPr="66135721">
        <w:rPr>
          <w:rStyle w:val="legschedulenolegheadingref1"/>
          <w:rFonts w:eastAsia="Verdana" w:cs="Verdana"/>
          <w:sz w:val="22"/>
          <w:szCs w:val="22"/>
          <w:specVanish w:val="0"/>
        </w:rPr>
        <w:t xml:space="preserve">, which we manage for </w:t>
      </w:r>
      <w:r w:rsidR="00E6428A">
        <w:rPr>
          <w:rStyle w:val="legschedulenolegheadingref1"/>
          <w:rFonts w:eastAsia="Verdana" w:cs="Verdana"/>
          <w:sz w:val="22"/>
          <w:szCs w:val="22"/>
          <w:specVanish w:val="0"/>
        </w:rPr>
        <w:t xml:space="preserve">major </w:t>
      </w:r>
      <w:r w:rsidRPr="66135721">
        <w:rPr>
          <w:rStyle w:val="legschedulenolegheadingref1"/>
          <w:rFonts w:eastAsia="Verdana" w:cs="Verdana"/>
          <w:sz w:val="22"/>
          <w:szCs w:val="22"/>
          <w:specVanish w:val="0"/>
        </w:rPr>
        <w:t xml:space="preserve">repairs and planned </w:t>
      </w:r>
      <w:r w:rsidR="00E6428A">
        <w:rPr>
          <w:rStyle w:val="legschedulenolegheadingref1"/>
          <w:rFonts w:eastAsia="Verdana" w:cs="Verdana"/>
          <w:sz w:val="22"/>
          <w:szCs w:val="22"/>
          <w:specVanish w:val="0"/>
        </w:rPr>
        <w:t xml:space="preserve">/ cyclical </w:t>
      </w:r>
      <w:r w:rsidRPr="66135721">
        <w:rPr>
          <w:rStyle w:val="legschedulenolegheadingref1"/>
          <w:rFonts w:eastAsia="Verdana" w:cs="Verdana"/>
          <w:sz w:val="22"/>
          <w:szCs w:val="22"/>
          <w:specVanish w:val="0"/>
        </w:rPr>
        <w:t>works. We believe this is the most effective way to help homeowners cover major expenses and reduce the risk of non-payment or fund deficits.</w:t>
      </w:r>
    </w:p>
    <w:p w:rsidR="11152F9B" w:rsidP="007B6B6B" w:rsidRDefault="11152F9B" w14:paraId="24A2A02C" w14:textId="42FF4410">
      <w:pPr>
        <w:shd w:val="clear" w:color="auto" w:fill="FFFFFF" w:themeFill="background1"/>
        <w:spacing w:after="210"/>
        <w:jc w:val="both"/>
        <w:rPr>
          <w:rStyle w:val="legschedulenolegheadingref1"/>
          <w:rFonts w:eastAsia="Verdana" w:cs="Verdana"/>
          <w:sz w:val="22"/>
          <w:szCs w:val="22"/>
        </w:rPr>
      </w:pPr>
      <w:r w:rsidRPr="66135721">
        <w:rPr>
          <w:rStyle w:val="legschedulenolegheadingref1"/>
          <w:rFonts w:eastAsia="Verdana" w:cs="Verdana"/>
          <w:sz w:val="22"/>
          <w:szCs w:val="22"/>
          <w:specVanish w:val="0"/>
        </w:rPr>
        <w:t xml:space="preserve">Contributions to the </w:t>
      </w:r>
      <w:r w:rsidR="00E6428A">
        <w:rPr>
          <w:rStyle w:val="legschedulenolegheadingref1"/>
          <w:rFonts w:eastAsia="Verdana" w:cs="Verdana"/>
          <w:sz w:val="22"/>
          <w:szCs w:val="22"/>
          <w:specVanish w:val="0"/>
        </w:rPr>
        <w:t xml:space="preserve">sinking and </w:t>
      </w:r>
      <w:r w:rsidRPr="66135721">
        <w:rPr>
          <w:rStyle w:val="legschedulenolegheadingref1"/>
          <w:rFonts w:eastAsia="Verdana" w:cs="Verdana"/>
          <w:sz w:val="22"/>
          <w:szCs w:val="22"/>
          <w:specVanish w:val="0"/>
        </w:rPr>
        <w:t>reserve funds will be based on a 30-year stock condition survey (SCS) and periodic validation reviews</w:t>
      </w:r>
      <w:r w:rsidR="001C2513">
        <w:rPr>
          <w:rStyle w:val="legschedulenolegheadingref1"/>
          <w:rFonts w:eastAsia="Verdana" w:cs="Verdana"/>
          <w:sz w:val="22"/>
          <w:szCs w:val="22"/>
          <w:specVanish w:val="0"/>
        </w:rPr>
        <w:t>, as set out below</w:t>
      </w:r>
      <w:r w:rsidRPr="66135721">
        <w:rPr>
          <w:rStyle w:val="legschedulenolegheadingref1"/>
          <w:rFonts w:eastAsia="Verdana" w:cs="Verdana"/>
          <w:sz w:val="22"/>
          <w:szCs w:val="22"/>
          <w:specVanish w:val="0"/>
        </w:rPr>
        <w:t>. These surveys include life cycle costings for property elements, ensuring that planned works are fully funded according to the landlord’s responsibilities in the lease.</w:t>
      </w:r>
    </w:p>
    <w:p w:rsidR="11152F9B" w:rsidP="007B6B6B" w:rsidRDefault="001C2513" w14:paraId="5EE7E9F8" w14:textId="09FCD246">
      <w:pPr>
        <w:shd w:val="clear" w:color="auto" w:fill="FFFFFF" w:themeFill="background1"/>
        <w:spacing w:after="210"/>
        <w:jc w:val="both"/>
        <w:rPr>
          <w:rStyle w:val="legschedulenolegheadingref1"/>
          <w:rFonts w:eastAsia="Verdana" w:cs="Verdana"/>
          <w:sz w:val="22"/>
          <w:szCs w:val="22"/>
        </w:rPr>
      </w:pPr>
      <w:r>
        <w:rPr>
          <w:rFonts w:eastAsia="Tahoma" w:cs="Tahoma"/>
        </w:rPr>
        <w:t xml:space="preserve">Once prepared, the SCS will be monitored regularly and updated where required to ensure that it takes account changes in costs such as inflation, increased regulatory requirements and contractor cost increases. </w:t>
      </w:r>
      <w:r w:rsidRPr="66135721" w:rsidR="11152F9B">
        <w:rPr>
          <w:rStyle w:val="legschedulenolegheadingref1"/>
          <w:rFonts w:eastAsia="Verdana" w:cs="Verdana"/>
          <w:sz w:val="22"/>
          <w:szCs w:val="22"/>
          <w:specVanish w:val="0"/>
        </w:rPr>
        <w:t xml:space="preserve">The building will be surveyed at least once every five </w:t>
      </w:r>
      <w:r w:rsidRPr="66135721" w:rsidR="000E3C47">
        <w:rPr>
          <w:rStyle w:val="legschedulenolegheadingref1"/>
          <w:rFonts w:eastAsia="Verdana" w:cs="Verdana"/>
          <w:sz w:val="22"/>
          <w:szCs w:val="22"/>
          <w:specVanish w:val="0"/>
        </w:rPr>
        <w:t>years,</w:t>
      </w:r>
      <w:r w:rsidRPr="66135721" w:rsidR="11152F9B">
        <w:rPr>
          <w:rStyle w:val="legschedulenolegheadingref1"/>
          <w:rFonts w:eastAsia="Verdana" w:cs="Verdana"/>
          <w:sz w:val="22"/>
          <w:szCs w:val="22"/>
          <w:specVanish w:val="0"/>
        </w:rPr>
        <w:t xml:space="preserve"> and fund </w:t>
      </w:r>
      <w:r w:rsidRPr="66135721" w:rsidR="11152F9B">
        <w:rPr>
          <w:rStyle w:val="legschedulenolegheadingref1"/>
          <w:rFonts w:eastAsia="Verdana" w:cs="Verdana"/>
          <w:sz w:val="22"/>
          <w:szCs w:val="22"/>
          <w:specVanish w:val="0"/>
        </w:rPr>
        <w:lastRenderedPageBreak/>
        <w:t>contributions will be reviewed annually. We will adjust the fund contributions as necessary to avoid over or under-funding.</w:t>
      </w:r>
    </w:p>
    <w:p w:rsidR="001C2513" w:rsidP="007B6B6B" w:rsidRDefault="11152F9B" w14:paraId="187A7883" w14:textId="6121C5FA">
      <w:pPr>
        <w:shd w:val="clear" w:color="auto" w:fill="FFFFFF" w:themeFill="background1"/>
        <w:spacing w:after="210"/>
        <w:jc w:val="both"/>
        <w:rPr>
          <w:rStyle w:val="legschedulenolegheadingref1"/>
          <w:rFonts w:eastAsia="Verdana" w:cs="Verdana"/>
          <w:sz w:val="22"/>
          <w:szCs w:val="22"/>
        </w:rPr>
      </w:pPr>
      <w:r w:rsidRPr="66135721">
        <w:rPr>
          <w:rStyle w:val="legschedulenolegheadingref1"/>
          <w:rFonts w:eastAsia="Verdana" w:cs="Verdana"/>
          <w:sz w:val="22"/>
          <w:szCs w:val="22"/>
          <w:specVanish w:val="0"/>
        </w:rPr>
        <w:t xml:space="preserve">Where the lease specifies that </w:t>
      </w:r>
      <w:r w:rsidRPr="66135721" w:rsidR="1A516891">
        <w:rPr>
          <w:rStyle w:val="legschedulenolegheadingref1"/>
          <w:rFonts w:eastAsia="Verdana" w:cs="Verdana"/>
          <w:sz w:val="22"/>
          <w:szCs w:val="22"/>
          <w:specVanish w:val="0"/>
        </w:rPr>
        <w:t xml:space="preserve">leaseholders must </w:t>
      </w:r>
      <w:proofErr w:type="gramStart"/>
      <w:r w:rsidRPr="66135721" w:rsidR="1A516891">
        <w:rPr>
          <w:rStyle w:val="legschedulenolegheadingref1"/>
          <w:rFonts w:eastAsia="Verdana" w:cs="Verdana"/>
          <w:sz w:val="22"/>
          <w:szCs w:val="22"/>
          <w:specVanish w:val="0"/>
        </w:rPr>
        <w:t xml:space="preserve">make a </w:t>
      </w:r>
      <w:r w:rsidRPr="66135721">
        <w:rPr>
          <w:rStyle w:val="legschedulenolegheadingref1"/>
          <w:rFonts w:eastAsia="Verdana" w:cs="Verdana"/>
          <w:sz w:val="22"/>
          <w:szCs w:val="22"/>
          <w:specVanish w:val="0"/>
        </w:rPr>
        <w:t>contribution</w:t>
      </w:r>
      <w:proofErr w:type="gramEnd"/>
      <w:r w:rsidRPr="66135721" w:rsidR="358B4C46">
        <w:rPr>
          <w:rStyle w:val="legschedulenolegheadingref1"/>
          <w:rFonts w:eastAsia="Verdana" w:cs="Verdana"/>
          <w:sz w:val="22"/>
          <w:szCs w:val="22"/>
          <w:specVanish w:val="0"/>
        </w:rPr>
        <w:t xml:space="preserve"> to the sinking fund </w:t>
      </w:r>
      <w:r w:rsidRPr="66135721">
        <w:rPr>
          <w:rStyle w:val="legschedulenolegheadingref1"/>
          <w:rFonts w:eastAsia="Verdana" w:cs="Verdana"/>
          <w:sz w:val="22"/>
          <w:szCs w:val="22"/>
          <w:specVanish w:val="0"/>
        </w:rPr>
        <w:t xml:space="preserve">upon </w:t>
      </w:r>
      <w:r w:rsidRPr="00E6428A">
        <w:rPr>
          <w:rStyle w:val="legschedulenolegheadingref1"/>
          <w:rFonts w:eastAsia="Verdana" w:cs="Verdana"/>
          <w:sz w:val="22"/>
          <w:szCs w:val="22"/>
          <w:specVanish w:val="0"/>
        </w:rPr>
        <w:t>the sale of the property, we will follow the calculation detailed in the lease. We will account for scheme sinking fund</w:t>
      </w:r>
      <w:r w:rsidR="00D27FC6">
        <w:rPr>
          <w:rStyle w:val="legschedulenolegheadingref1"/>
          <w:rFonts w:eastAsia="Verdana" w:cs="Verdana"/>
          <w:sz w:val="22"/>
          <w:szCs w:val="22"/>
          <w:specVanish w:val="0"/>
        </w:rPr>
        <w:t xml:space="preserve"> and </w:t>
      </w:r>
      <w:r w:rsidRPr="002121EC" w:rsidR="00E6428A">
        <w:rPr>
          <w:rStyle w:val="legschedulenolegheadingref1"/>
          <w:rFonts w:eastAsia="Verdana" w:cs="Verdana"/>
          <w:sz w:val="22"/>
          <w:szCs w:val="22"/>
          <w:specVanish w:val="0"/>
        </w:rPr>
        <w:t>reserve funds</w:t>
      </w:r>
      <w:r w:rsidRPr="00E6428A">
        <w:rPr>
          <w:rStyle w:val="legschedulenolegheadingref1"/>
          <w:rFonts w:eastAsia="Verdana" w:cs="Verdana"/>
          <w:sz w:val="22"/>
          <w:szCs w:val="22"/>
          <w:specVanish w:val="0"/>
        </w:rPr>
        <w:t xml:space="preserve"> </w:t>
      </w:r>
      <w:r w:rsidRPr="002121EC" w:rsidR="00E6428A">
        <w:rPr>
          <w:rStyle w:val="legschedulenolegheadingref1"/>
          <w:rFonts w:eastAsia="Verdana" w:cs="Verdana"/>
          <w:sz w:val="22"/>
          <w:szCs w:val="22"/>
          <w:specVanish w:val="0"/>
        </w:rPr>
        <w:t>held</w:t>
      </w:r>
      <w:r w:rsidRPr="00E6428A">
        <w:rPr>
          <w:rStyle w:val="legschedulenolegheadingref1"/>
          <w:rFonts w:eastAsia="Verdana" w:cs="Verdana"/>
          <w:sz w:val="22"/>
          <w:szCs w:val="22"/>
          <w:specVanish w:val="0"/>
        </w:rPr>
        <w:t>, income, expenditure, and balances in the annual scheme accounts.</w:t>
      </w:r>
      <w:r w:rsidRPr="66135721">
        <w:rPr>
          <w:rStyle w:val="legschedulenolegheadingref1"/>
          <w:rFonts w:eastAsia="Verdana" w:cs="Verdana"/>
          <w:sz w:val="22"/>
          <w:szCs w:val="22"/>
          <w:specVanish w:val="0"/>
        </w:rPr>
        <w:t xml:space="preserve"> </w:t>
      </w:r>
    </w:p>
    <w:p w:rsidR="11152F9B" w:rsidP="007B6B6B" w:rsidRDefault="11152F9B" w14:paraId="15B5EB14" w14:textId="29A67B19">
      <w:pPr>
        <w:shd w:val="clear" w:color="auto" w:fill="FFFFFF" w:themeFill="background1"/>
        <w:spacing w:after="210"/>
        <w:jc w:val="both"/>
        <w:rPr>
          <w:rStyle w:val="legschedulenolegheadingref1"/>
          <w:rFonts w:eastAsia="Verdana" w:cs="Verdana"/>
          <w:sz w:val="22"/>
          <w:szCs w:val="22"/>
        </w:rPr>
      </w:pPr>
      <w:r w:rsidRPr="66135721">
        <w:rPr>
          <w:rStyle w:val="legschedulenolegheadingref1"/>
          <w:rFonts w:eastAsia="Verdana" w:cs="Verdana"/>
          <w:sz w:val="22"/>
          <w:szCs w:val="22"/>
          <w:specVanish w:val="0"/>
        </w:rPr>
        <w:t xml:space="preserve">Homeowners’ sinking and </w:t>
      </w:r>
      <w:r w:rsidR="00E6428A">
        <w:rPr>
          <w:rStyle w:val="legschedulenolegheadingref1"/>
          <w:rFonts w:eastAsia="Verdana" w:cs="Verdana"/>
          <w:sz w:val="22"/>
          <w:szCs w:val="22"/>
          <w:specVanish w:val="0"/>
        </w:rPr>
        <w:t>reserve</w:t>
      </w:r>
      <w:r w:rsidR="002121EC">
        <w:rPr>
          <w:rStyle w:val="legschedulenolegheadingref1"/>
          <w:rFonts w:eastAsia="Verdana" w:cs="Verdana"/>
          <w:sz w:val="22"/>
          <w:szCs w:val="22"/>
          <w:specVanish w:val="0"/>
        </w:rPr>
        <w:t xml:space="preserve"> </w:t>
      </w:r>
      <w:r w:rsidRPr="66135721">
        <w:rPr>
          <w:rStyle w:val="legschedulenolegheadingref1"/>
          <w:rFonts w:eastAsia="Verdana" w:cs="Verdana"/>
          <w:sz w:val="22"/>
          <w:szCs w:val="22"/>
          <w:specVanish w:val="0"/>
        </w:rPr>
        <w:t xml:space="preserve">funds will be managed in accordance with </w:t>
      </w:r>
      <w:r w:rsidR="001C2513">
        <w:rPr>
          <w:rStyle w:val="legschedulenolegheadingref1"/>
          <w:rFonts w:eastAsia="Verdana" w:cs="Verdana"/>
          <w:sz w:val="22"/>
          <w:szCs w:val="22"/>
          <w:specVanish w:val="0"/>
        </w:rPr>
        <w:t xml:space="preserve">any relevant </w:t>
      </w:r>
      <w:r w:rsidRPr="66135721">
        <w:rPr>
          <w:rStyle w:val="legschedulenolegheadingref1"/>
          <w:rFonts w:eastAsia="Verdana" w:cs="Verdana"/>
          <w:sz w:val="22"/>
          <w:szCs w:val="22"/>
          <w:specVanish w:val="0"/>
        </w:rPr>
        <w:t>regulatory requirements.</w:t>
      </w:r>
    </w:p>
    <w:p w:rsidR="11152F9B" w:rsidP="007B6B6B" w:rsidRDefault="11152F9B" w14:paraId="0B862E62" w14:textId="440865C0">
      <w:pPr>
        <w:shd w:val="clear" w:color="auto" w:fill="FFFFFF" w:themeFill="background1"/>
        <w:spacing w:after="210"/>
        <w:jc w:val="both"/>
        <w:rPr>
          <w:rStyle w:val="legschedulenolegheadingref1"/>
          <w:rFonts w:eastAsia="Verdana" w:cs="Verdana"/>
          <w:sz w:val="22"/>
          <w:szCs w:val="22"/>
        </w:rPr>
      </w:pPr>
      <w:r w:rsidRPr="66135721">
        <w:rPr>
          <w:rStyle w:val="legschedulenolegheadingref1"/>
          <w:rFonts w:eastAsia="Verdana" w:cs="Verdana"/>
          <w:sz w:val="22"/>
          <w:szCs w:val="22"/>
          <w:specVanish w:val="0"/>
        </w:rPr>
        <w:t>Each development has a schedule detailing the components for the scheme, including estimated replacement costs as they reach the end of their life and their anticipated lifecycle.</w:t>
      </w:r>
    </w:p>
    <w:p w:rsidR="00FE6EE2" w:rsidP="00846475" w:rsidRDefault="57BECA9B" w14:paraId="195C794B" w14:textId="50D8BB22">
      <w:pPr>
        <w:pStyle w:val="Heading2"/>
        <w:spacing w:line="259" w:lineRule="auto"/>
        <w:jc w:val="both"/>
        <w:rPr>
          <w:rFonts w:eastAsia="Verdana" w:cs="Verdana"/>
        </w:rPr>
      </w:pPr>
      <w:r w:rsidRPr="6E6DE770">
        <w:rPr>
          <w:rFonts w:eastAsia="Verdana" w:cs="Verdana"/>
        </w:rPr>
        <w:t>4.2</w:t>
      </w:r>
      <w:r>
        <w:tab/>
      </w:r>
      <w:r w:rsidRPr="6E6DE770" w:rsidR="0040653C">
        <w:rPr>
          <w:rFonts w:eastAsia="Verdana" w:cs="Verdana"/>
        </w:rPr>
        <w:t>Leases</w:t>
      </w:r>
    </w:p>
    <w:p w:rsidRPr="00AF3B1F" w:rsidR="00AF3B1F" w:rsidP="00AF3B1F" w:rsidRDefault="00AF3B1F" w14:paraId="1DDBB55D" w14:textId="77777777"/>
    <w:p w:rsidRPr="001B1DD5" w:rsidR="00FE6EE2" w:rsidP="007B6B6B" w:rsidRDefault="2589CB05" w14:paraId="53083650" w14:textId="6228B29F">
      <w:pPr>
        <w:shd w:val="clear" w:color="auto" w:fill="FFFFFF" w:themeFill="background1"/>
        <w:spacing w:after="210"/>
        <w:jc w:val="both"/>
        <w:rPr>
          <w:rFonts w:eastAsia="Verdana" w:cs="Verdana"/>
        </w:rPr>
      </w:pPr>
      <w:r w:rsidRPr="6E6DE770">
        <w:rPr>
          <w:rFonts w:eastAsia="Verdana" w:cs="Verdana"/>
          <w:szCs w:val="22"/>
        </w:rPr>
        <w:t>If a lease does not specifically include a clause for a sinking fund</w:t>
      </w:r>
      <w:r w:rsidR="00E6428A">
        <w:rPr>
          <w:rFonts w:eastAsia="Verdana" w:cs="Verdana"/>
          <w:szCs w:val="22"/>
        </w:rPr>
        <w:t xml:space="preserve"> or reserve fund</w:t>
      </w:r>
      <w:r w:rsidRPr="6E6DE770">
        <w:rPr>
          <w:rFonts w:eastAsia="Verdana" w:cs="Verdana"/>
          <w:szCs w:val="22"/>
        </w:rPr>
        <w:t xml:space="preserve">, Redwing cannot implement one. Instead, any expenditure on major works or component replacements </w:t>
      </w:r>
      <w:r w:rsidR="00E6428A">
        <w:rPr>
          <w:rFonts w:eastAsia="Verdana" w:cs="Verdana"/>
          <w:szCs w:val="22"/>
        </w:rPr>
        <w:t xml:space="preserve">and on cyclical work </w:t>
      </w:r>
      <w:r w:rsidRPr="6E6DE770">
        <w:rPr>
          <w:rFonts w:eastAsia="Verdana" w:cs="Verdana"/>
          <w:szCs w:val="22"/>
        </w:rPr>
        <w:t>will be included in the service charge</w:t>
      </w:r>
      <w:r w:rsidR="00846475">
        <w:rPr>
          <w:rFonts w:eastAsia="Verdana" w:cs="Verdana"/>
          <w:szCs w:val="22"/>
        </w:rPr>
        <w:t xml:space="preserve"> budget</w:t>
      </w:r>
      <w:r w:rsidRPr="6E6DE770">
        <w:rPr>
          <w:rFonts w:eastAsia="Verdana" w:cs="Verdana"/>
          <w:szCs w:val="22"/>
        </w:rPr>
        <w:t xml:space="preserve"> and accounted for accordingly.</w:t>
      </w:r>
    </w:p>
    <w:p w:rsidRPr="001B1DD5" w:rsidR="00FE6EE2" w:rsidP="007B6B6B" w:rsidRDefault="2589CB05" w14:paraId="3D2D97B2" w14:textId="4CDCB804">
      <w:pPr>
        <w:shd w:val="clear" w:color="auto" w:fill="FFFFFF" w:themeFill="background1"/>
        <w:spacing w:after="210"/>
        <w:jc w:val="both"/>
        <w:rPr>
          <w:rFonts w:eastAsia="Verdana" w:cs="Verdana"/>
        </w:rPr>
      </w:pPr>
      <w:r w:rsidRPr="6E6DE770">
        <w:rPr>
          <w:rFonts w:eastAsia="Verdana" w:cs="Verdana"/>
          <w:szCs w:val="22"/>
        </w:rPr>
        <w:t>In cases where a sinking fund is payable upon exit but there are insufficient funds to cover the anticipated work, Redwing will, where the lease permits, include a monthly contribution to the fund. This contribution will be collected alongside the service charge. The decision to collect these additional funds alongside the service charge, even when there is a payment on exit, will be based on lifecycle data.</w:t>
      </w:r>
      <w:r w:rsidR="00E6428A">
        <w:rPr>
          <w:rFonts w:eastAsia="Verdana" w:cs="Verdana"/>
          <w:szCs w:val="22"/>
        </w:rPr>
        <w:t xml:space="preserve"> This is to try to ensure there is no shortfall due to the lack of property sales. </w:t>
      </w:r>
    </w:p>
    <w:p w:rsidRPr="001B1DD5" w:rsidR="00FE6EE2" w:rsidP="007B6B6B" w:rsidRDefault="001B1DD5" w14:paraId="327AEE75" w14:textId="387B3ECF">
      <w:pPr>
        <w:jc w:val="both"/>
        <w:rPr>
          <w:rFonts w:eastAsia="Verdana" w:cs="Verdana"/>
          <w:b/>
          <w:bCs/>
          <w:sz w:val="24"/>
        </w:rPr>
      </w:pPr>
      <w:r w:rsidRPr="6E6DE770">
        <w:rPr>
          <w:rFonts w:eastAsia="Verdana" w:cs="Verdana"/>
          <w:b/>
          <w:bCs/>
          <w:sz w:val="24"/>
        </w:rPr>
        <w:t>4.</w:t>
      </w:r>
      <w:r w:rsidRPr="6E6DE770" w:rsidR="00AB22A7">
        <w:rPr>
          <w:rFonts w:eastAsia="Verdana" w:cs="Verdana"/>
          <w:b/>
          <w:bCs/>
          <w:sz w:val="24"/>
        </w:rPr>
        <w:t>3</w:t>
      </w:r>
      <w:r>
        <w:tab/>
      </w:r>
      <w:r w:rsidRPr="6E6DE770" w:rsidR="00FE6EE2">
        <w:rPr>
          <w:rFonts w:eastAsia="Verdana" w:cs="Verdana"/>
          <w:b/>
          <w:bCs/>
          <w:sz w:val="24"/>
        </w:rPr>
        <w:t xml:space="preserve">Managing </w:t>
      </w:r>
      <w:r w:rsidRPr="6E6DE770" w:rsidR="006D1F34">
        <w:rPr>
          <w:rFonts w:eastAsia="Verdana" w:cs="Verdana"/>
          <w:b/>
          <w:bCs/>
          <w:sz w:val="24"/>
        </w:rPr>
        <w:t>Reserve and Sinking Funds</w:t>
      </w:r>
    </w:p>
    <w:p w:rsidRPr="001B1DD5" w:rsidR="00DC3A14" w:rsidP="007B6B6B" w:rsidRDefault="00DC3A14" w14:paraId="65DC0A60" w14:textId="77777777">
      <w:pPr>
        <w:jc w:val="both"/>
        <w:rPr>
          <w:rFonts w:eastAsia="Verdana" w:cs="Verdana"/>
          <w:b/>
          <w:bCs/>
        </w:rPr>
      </w:pPr>
    </w:p>
    <w:p w:rsidR="00DC3A14" w:rsidP="007B6B6B" w:rsidRDefault="00DC3A14" w14:paraId="3B75305C" w14:textId="77777777">
      <w:pPr>
        <w:autoSpaceDE w:val="0"/>
        <w:autoSpaceDN w:val="0"/>
        <w:adjustRightInd w:val="0"/>
        <w:jc w:val="both"/>
        <w:rPr>
          <w:rStyle w:val="legschedulenolegheadingref1"/>
          <w:rFonts w:eastAsia="Verdana" w:cs="Verdana"/>
          <w:b/>
          <w:sz w:val="22"/>
          <w:szCs w:val="22"/>
          <w:lang w:val="en"/>
        </w:rPr>
      </w:pPr>
      <w:r w:rsidRPr="66135721">
        <w:rPr>
          <w:rStyle w:val="legschedulenolegheadingref1"/>
          <w:rFonts w:eastAsia="Verdana" w:cs="Verdana"/>
          <w:b/>
          <w:sz w:val="22"/>
          <w:szCs w:val="22"/>
          <w:lang w:val="en"/>
          <w:specVanish w:val="0"/>
        </w:rPr>
        <w:t>Status Reports</w:t>
      </w:r>
    </w:p>
    <w:p w:rsidRPr="00AB22A7" w:rsidR="00AF3B1F" w:rsidP="007B6B6B" w:rsidRDefault="00AF3B1F" w14:paraId="1C5F8A40" w14:textId="77777777">
      <w:pPr>
        <w:autoSpaceDE w:val="0"/>
        <w:autoSpaceDN w:val="0"/>
        <w:adjustRightInd w:val="0"/>
        <w:jc w:val="both"/>
        <w:rPr>
          <w:rStyle w:val="legschedulenolegheadingref1"/>
          <w:rFonts w:eastAsia="Verdana" w:cs="Verdana"/>
          <w:b/>
          <w:sz w:val="22"/>
          <w:szCs w:val="22"/>
          <w:lang w:val="en"/>
        </w:rPr>
      </w:pPr>
    </w:p>
    <w:p w:rsidRPr="00AB22A7" w:rsidR="00DC3A14" w:rsidP="007B6B6B" w:rsidRDefault="60303D9A" w14:paraId="7623385B" w14:textId="6F50DB69">
      <w:pPr>
        <w:shd w:val="clear" w:color="auto" w:fill="FFFFFF" w:themeFill="background1"/>
        <w:autoSpaceDE w:val="0"/>
        <w:autoSpaceDN w:val="0"/>
        <w:adjustRightInd w:val="0"/>
        <w:spacing w:after="210"/>
        <w:jc w:val="both"/>
        <w:rPr>
          <w:rFonts w:eastAsia="Verdana" w:cs="Verdana"/>
          <w:lang w:val="en-US"/>
        </w:rPr>
      </w:pPr>
      <w:r w:rsidRPr="6E6DE770">
        <w:rPr>
          <w:rFonts w:eastAsia="Verdana" w:cs="Verdana"/>
          <w:szCs w:val="22"/>
          <w:lang w:val="en-US"/>
        </w:rPr>
        <w:t xml:space="preserve">Each scheme has an Investment Report that outlines anticipated costs based on the Stock Condition Survey (SCS), the current balance in the </w:t>
      </w:r>
      <w:r w:rsidR="00E6428A">
        <w:rPr>
          <w:rFonts w:eastAsia="Verdana" w:cs="Verdana"/>
          <w:szCs w:val="22"/>
          <w:lang w:val="en-US"/>
        </w:rPr>
        <w:t xml:space="preserve">sinking fund / </w:t>
      </w:r>
      <w:r w:rsidRPr="6E6DE770">
        <w:rPr>
          <w:rFonts w:eastAsia="Verdana" w:cs="Verdana"/>
          <w:szCs w:val="22"/>
          <w:lang w:val="en-US"/>
        </w:rPr>
        <w:t xml:space="preserve">reserve fund, projected income from fund </w:t>
      </w:r>
      <w:r w:rsidR="00E6428A">
        <w:rPr>
          <w:rFonts w:eastAsia="Verdana" w:cs="Verdana"/>
          <w:szCs w:val="22"/>
          <w:lang w:val="en-US"/>
        </w:rPr>
        <w:t>contributions</w:t>
      </w:r>
      <w:r w:rsidRPr="6E6DE770">
        <w:rPr>
          <w:rFonts w:eastAsia="Verdana" w:cs="Verdana"/>
          <w:szCs w:val="22"/>
          <w:lang w:val="en-US"/>
        </w:rPr>
        <w:t>, and the fund's capacity to cover upcoming works.</w:t>
      </w:r>
    </w:p>
    <w:p w:rsidRPr="00AB22A7" w:rsidR="00DC3A14" w:rsidP="007B6B6B" w:rsidRDefault="60303D9A" w14:paraId="214281F6" w14:textId="195D63FC">
      <w:pPr>
        <w:shd w:val="clear" w:color="auto" w:fill="FFFFFF" w:themeFill="background1"/>
        <w:autoSpaceDE w:val="0"/>
        <w:autoSpaceDN w:val="0"/>
        <w:adjustRightInd w:val="0"/>
        <w:spacing w:after="210"/>
        <w:jc w:val="both"/>
        <w:rPr>
          <w:rFonts w:eastAsia="Verdana" w:cs="Verdana"/>
          <w:lang w:val="en-US"/>
        </w:rPr>
      </w:pPr>
      <w:r w:rsidRPr="6E6DE770">
        <w:rPr>
          <w:rFonts w:eastAsia="Verdana" w:cs="Verdana"/>
          <w:szCs w:val="22"/>
          <w:lang w:val="en-US"/>
        </w:rPr>
        <w:t>When making decisions about an individual scheme, the Investment Report serves as the primary reference point.</w:t>
      </w:r>
    </w:p>
    <w:p w:rsidRPr="00AB22A7" w:rsidR="00DC3A14" w:rsidP="007B6B6B" w:rsidRDefault="60303D9A" w14:paraId="172889CD" w14:textId="6D339D5A">
      <w:pPr>
        <w:shd w:val="clear" w:color="auto" w:fill="FFFFFF" w:themeFill="background1"/>
        <w:autoSpaceDE w:val="0"/>
        <w:autoSpaceDN w:val="0"/>
        <w:adjustRightInd w:val="0"/>
        <w:spacing w:after="210"/>
        <w:jc w:val="both"/>
        <w:rPr>
          <w:rFonts w:eastAsia="Verdana" w:cs="Verdana"/>
          <w:lang w:val="en-US"/>
        </w:rPr>
      </w:pPr>
      <w:r w:rsidRPr="095827AB">
        <w:rPr>
          <w:rFonts w:eastAsia="Verdana" w:cs="Verdana"/>
          <w:lang w:val="en-US"/>
        </w:rPr>
        <w:t xml:space="preserve">If proposed works risk causing the sinking </w:t>
      </w:r>
      <w:r w:rsidRPr="095827AB" w:rsidR="00E6428A">
        <w:rPr>
          <w:rFonts w:eastAsia="Verdana" w:cs="Verdana"/>
          <w:lang w:val="en-US"/>
        </w:rPr>
        <w:t xml:space="preserve">/ reserve </w:t>
      </w:r>
      <w:r w:rsidRPr="095827AB">
        <w:rPr>
          <w:rFonts w:eastAsia="Verdana" w:cs="Verdana"/>
          <w:lang w:val="en-US"/>
        </w:rPr>
        <w:t xml:space="preserve">fund to fall into deficit, approval must be obtained from the Redwing Director of Operations or the Executive Director of </w:t>
      </w:r>
      <w:r w:rsidR="00846475">
        <w:rPr>
          <w:rFonts w:eastAsia="Verdana" w:cs="Verdana"/>
          <w:lang w:val="en-US"/>
        </w:rPr>
        <w:t>Property</w:t>
      </w:r>
      <w:r w:rsidRPr="095827AB">
        <w:rPr>
          <w:rFonts w:eastAsia="Verdana" w:cs="Verdana"/>
          <w:lang w:val="en-US"/>
        </w:rPr>
        <w:t>.</w:t>
      </w:r>
    </w:p>
    <w:p w:rsidRPr="00AB22A7" w:rsidR="00DC3A14" w:rsidP="007B6B6B" w:rsidRDefault="60303D9A" w14:paraId="0C957B7D" w14:textId="0A70043A">
      <w:pPr>
        <w:shd w:val="clear" w:color="auto" w:fill="FFFFFF" w:themeFill="background1"/>
        <w:autoSpaceDE w:val="0"/>
        <w:autoSpaceDN w:val="0"/>
        <w:adjustRightInd w:val="0"/>
        <w:spacing w:after="210"/>
        <w:jc w:val="both"/>
        <w:rPr>
          <w:rFonts w:eastAsia="Verdana" w:cs="Verdana"/>
          <w:lang w:val="en-US"/>
        </w:rPr>
      </w:pPr>
      <w:r w:rsidRPr="6E6DE770">
        <w:rPr>
          <w:rFonts w:eastAsia="Verdana" w:cs="Verdana"/>
          <w:szCs w:val="22"/>
          <w:lang w:val="en-US"/>
        </w:rPr>
        <w:t xml:space="preserve">If a scheme is </w:t>
      </w:r>
      <w:r w:rsidRPr="6E6DE770" w:rsidR="04B0B3F0">
        <w:rPr>
          <w:rFonts w:eastAsia="Verdana" w:cs="Verdana"/>
          <w:szCs w:val="22"/>
          <w:lang w:val="en-US"/>
        </w:rPr>
        <w:t>expected</w:t>
      </w:r>
      <w:r w:rsidRPr="6E6DE770">
        <w:rPr>
          <w:rFonts w:eastAsia="Verdana" w:cs="Verdana"/>
          <w:szCs w:val="22"/>
          <w:lang w:val="en-US"/>
        </w:rPr>
        <w:t xml:space="preserve"> to face a </w:t>
      </w:r>
      <w:r w:rsidR="00E6428A">
        <w:rPr>
          <w:rFonts w:eastAsia="Verdana" w:cs="Verdana"/>
          <w:szCs w:val="22"/>
          <w:lang w:val="en-US"/>
        </w:rPr>
        <w:t xml:space="preserve">fund </w:t>
      </w:r>
      <w:r w:rsidRPr="6E6DE770">
        <w:rPr>
          <w:rFonts w:eastAsia="Verdana" w:cs="Verdana"/>
          <w:szCs w:val="22"/>
          <w:lang w:val="en-US"/>
        </w:rPr>
        <w:t xml:space="preserve">deficit within the next 5-10 years (or shortly thereafter), </w:t>
      </w:r>
      <w:r w:rsidR="00E6428A">
        <w:rPr>
          <w:rFonts w:eastAsia="Verdana" w:cs="Verdana"/>
          <w:szCs w:val="22"/>
          <w:lang w:val="en-US"/>
        </w:rPr>
        <w:t xml:space="preserve">where the lease allows, </w:t>
      </w:r>
      <w:r w:rsidRPr="6E6DE770">
        <w:rPr>
          <w:rFonts w:eastAsia="Verdana" w:cs="Verdana"/>
          <w:szCs w:val="22"/>
          <w:lang w:val="en-US"/>
        </w:rPr>
        <w:t>the service charge must be increased gradually over this period to ensure sufficient funds are available when needed. If the review indicates excessive funds, an appropriate reduction in the monthly contributions will be made.</w:t>
      </w:r>
    </w:p>
    <w:p w:rsidRPr="001B1DD5" w:rsidR="341E1D37" w:rsidP="00473CF1" w:rsidRDefault="60303D9A" w14:paraId="38AAC349" w14:textId="06729ED0">
      <w:pPr>
        <w:shd w:val="clear" w:color="auto" w:fill="FFFFFF" w:themeFill="background1"/>
        <w:autoSpaceDE w:val="0"/>
        <w:autoSpaceDN w:val="0"/>
        <w:adjustRightInd w:val="0"/>
        <w:spacing w:after="210"/>
        <w:jc w:val="both"/>
        <w:rPr>
          <w:rStyle w:val="legschedulenolegheadingref1"/>
          <w:rFonts w:eastAsia="Verdana" w:cs="Verdana"/>
          <w:lang w:val="en-US"/>
        </w:rPr>
      </w:pPr>
      <w:r w:rsidRPr="6E6DE770">
        <w:rPr>
          <w:rFonts w:eastAsia="Verdana" w:cs="Verdana"/>
          <w:szCs w:val="22"/>
          <w:lang w:val="en-US"/>
        </w:rPr>
        <w:t>Sinking</w:t>
      </w:r>
      <w:r w:rsidR="00E6428A">
        <w:rPr>
          <w:rFonts w:eastAsia="Verdana" w:cs="Verdana"/>
          <w:szCs w:val="22"/>
          <w:lang w:val="en-US"/>
        </w:rPr>
        <w:t xml:space="preserve"> and reserve</w:t>
      </w:r>
      <w:r w:rsidRPr="6E6DE770">
        <w:rPr>
          <w:rFonts w:eastAsia="Verdana" w:cs="Verdana"/>
          <w:szCs w:val="22"/>
          <w:lang w:val="en-US"/>
        </w:rPr>
        <w:t xml:space="preserve"> fund contributions should never be completely removed due to the potential challenges of reintroducing them.</w:t>
      </w:r>
    </w:p>
    <w:p w:rsidR="7DEC6CDC" w:rsidP="007B6B6B" w:rsidRDefault="00AB22A7" w14:paraId="08406E72" w14:textId="42E167DA">
      <w:pPr>
        <w:jc w:val="both"/>
        <w:rPr>
          <w:rFonts w:eastAsia="Verdana" w:cs="Verdana"/>
          <w:sz w:val="24"/>
          <w:lang w:val="en-US"/>
        </w:rPr>
      </w:pPr>
      <w:r w:rsidRPr="6E6DE770">
        <w:rPr>
          <w:rFonts w:eastAsia="Verdana" w:cs="Verdana"/>
          <w:b/>
          <w:bCs/>
          <w:sz w:val="24"/>
          <w:lang w:val="en-US"/>
        </w:rPr>
        <w:t>4.4</w:t>
      </w:r>
      <w:r>
        <w:tab/>
      </w:r>
      <w:r w:rsidRPr="6E6DE770" w:rsidR="7DEC6CDC">
        <w:rPr>
          <w:rFonts w:eastAsia="Verdana" w:cs="Verdana"/>
          <w:b/>
          <w:bCs/>
          <w:sz w:val="24"/>
          <w:lang w:val="en-US"/>
        </w:rPr>
        <w:t xml:space="preserve">Investment </w:t>
      </w:r>
      <w:proofErr w:type="gramStart"/>
      <w:r w:rsidRPr="6E6DE770" w:rsidR="7DEC6CDC">
        <w:rPr>
          <w:rFonts w:eastAsia="Verdana" w:cs="Verdana"/>
          <w:b/>
          <w:bCs/>
          <w:sz w:val="24"/>
          <w:lang w:val="en-US"/>
        </w:rPr>
        <w:t>of</w:t>
      </w:r>
      <w:proofErr w:type="gramEnd"/>
      <w:r w:rsidRPr="6E6DE770" w:rsidR="7DEC6CDC">
        <w:rPr>
          <w:rFonts w:eastAsia="Verdana" w:cs="Verdana"/>
          <w:b/>
          <w:bCs/>
          <w:sz w:val="24"/>
          <w:lang w:val="en-US"/>
        </w:rPr>
        <w:t xml:space="preserve"> Sinking Funds</w:t>
      </w:r>
      <w:r w:rsidRPr="6E6DE770" w:rsidR="7DEC6CDC">
        <w:rPr>
          <w:rFonts w:eastAsia="Verdana" w:cs="Verdana"/>
          <w:sz w:val="24"/>
          <w:lang w:val="en-US"/>
        </w:rPr>
        <w:t xml:space="preserve"> </w:t>
      </w:r>
    </w:p>
    <w:p w:rsidR="0BD6EF67" w:rsidP="007B6B6B" w:rsidRDefault="0BD6EF67" w14:paraId="39FBEAC8" w14:textId="472935BD">
      <w:pPr>
        <w:jc w:val="both"/>
        <w:rPr>
          <w:rFonts w:eastAsia="Verdana" w:cs="Verdana"/>
          <w:sz w:val="24"/>
          <w:lang w:val="en-US"/>
        </w:rPr>
      </w:pPr>
    </w:p>
    <w:p w:rsidR="7C790765" w:rsidP="007B6B6B" w:rsidRDefault="7C790765" w14:paraId="605FF05F" w14:textId="1E12DAAE">
      <w:pPr>
        <w:shd w:val="clear" w:color="auto" w:fill="FFFFFF" w:themeFill="background1"/>
        <w:spacing w:after="210"/>
        <w:jc w:val="both"/>
        <w:rPr>
          <w:rFonts w:eastAsia="Verdana" w:cs="Verdana"/>
          <w:szCs w:val="22"/>
          <w:lang w:val="en-US"/>
        </w:rPr>
      </w:pPr>
      <w:r w:rsidRPr="6E6DE770">
        <w:rPr>
          <w:rFonts w:eastAsia="Verdana" w:cs="Verdana"/>
          <w:szCs w:val="22"/>
          <w:lang w:val="en-US"/>
        </w:rPr>
        <w:t>As a Registered Provider, Redwing</w:t>
      </w:r>
      <w:r w:rsidR="00AF3B1F">
        <w:rPr>
          <w:rFonts w:eastAsia="Verdana" w:cs="Verdana"/>
          <w:szCs w:val="22"/>
          <w:lang w:val="en-US"/>
        </w:rPr>
        <w:t xml:space="preserve"> </w:t>
      </w:r>
      <w:r w:rsidRPr="6E6DE770">
        <w:rPr>
          <w:rFonts w:eastAsia="Verdana" w:cs="Verdana"/>
          <w:szCs w:val="22"/>
          <w:lang w:val="en-US"/>
        </w:rPr>
        <w:t>is not required to hold reserve funds in trust or in a separate bank account from other service charge monies, unless specifically required by the lease or a management agreement.</w:t>
      </w:r>
    </w:p>
    <w:p w:rsidR="00ED11C7" w:rsidP="391FBE40" w:rsidRDefault="7C790765" w14:paraId="1EAE2B0C" w14:textId="1FE0ECE8">
      <w:pPr>
        <w:shd w:val="clear" w:color="auto" w:fill="FFFFFF" w:themeFill="background1"/>
        <w:spacing w:after="210"/>
        <w:jc w:val="both"/>
        <w:rPr>
          <w:rFonts w:eastAsia="Verdana" w:cs="Verdana"/>
          <w:lang w:val="en-US"/>
        </w:rPr>
      </w:pPr>
      <w:r w:rsidRPr="391FBE40">
        <w:rPr>
          <w:rFonts w:eastAsia="Verdana" w:cs="Verdana"/>
          <w:lang w:val="en-US"/>
        </w:rPr>
        <w:lastRenderedPageBreak/>
        <w:t>Funds will be placed in an interest-bearing bank account, which may be the same account used for current service charge income and expenditure.</w:t>
      </w:r>
      <w:r w:rsidRPr="391FBE40" w:rsidR="001C2513">
        <w:rPr>
          <w:rFonts w:eastAsia="Verdana" w:cs="Verdana"/>
          <w:lang w:val="en-US"/>
        </w:rPr>
        <w:t xml:space="preserve"> Interest earned </w:t>
      </w:r>
      <w:proofErr w:type="gramStart"/>
      <w:r w:rsidRPr="391FBE40" w:rsidR="001C2513">
        <w:rPr>
          <w:rFonts w:eastAsia="Verdana" w:cs="Verdana"/>
          <w:lang w:val="en-US"/>
        </w:rPr>
        <w:t>on</w:t>
      </w:r>
      <w:proofErr w:type="gramEnd"/>
      <w:r w:rsidRPr="391FBE40" w:rsidR="001C2513">
        <w:rPr>
          <w:rFonts w:eastAsia="Verdana" w:cs="Verdana"/>
          <w:lang w:val="en-US"/>
        </w:rPr>
        <w:t xml:space="preserve"> these funds will be added to the funds and reflected in the annual accounts, unless the lease specifies otherwise.</w:t>
      </w:r>
    </w:p>
    <w:p w:rsidR="7C790765" w:rsidP="007B6B6B" w:rsidRDefault="00ED11C7" w14:paraId="3AA5C0DC" w14:textId="542D9C8A">
      <w:pPr>
        <w:shd w:val="clear" w:color="auto" w:fill="FFFFFF" w:themeFill="background1"/>
        <w:spacing w:after="210"/>
        <w:jc w:val="both"/>
        <w:rPr>
          <w:rFonts w:eastAsia="Verdana" w:cs="Verdana"/>
          <w:lang w:val="en-US"/>
        </w:rPr>
      </w:pPr>
      <w:r w:rsidRPr="391FBE40">
        <w:rPr>
          <w:rFonts w:eastAsia="Verdana" w:cs="Verdana"/>
          <w:lang w:val="en-US"/>
        </w:rPr>
        <w:t>Where Redwing provide management services for external clients who are not a Registered Provider</w:t>
      </w:r>
      <w:r w:rsidR="006E13A0">
        <w:rPr>
          <w:rFonts w:eastAsia="Verdana" w:cs="Verdana"/>
          <w:lang w:val="en-US"/>
        </w:rPr>
        <w:t>,</w:t>
      </w:r>
      <w:r w:rsidRPr="391FBE40">
        <w:rPr>
          <w:rFonts w:eastAsia="Verdana" w:cs="Verdana"/>
          <w:lang w:val="en-US"/>
        </w:rPr>
        <w:t xml:space="preserve"> monies will be held in trust in accordance with Section 42 of the Landlord and Tenant Act 1987.</w:t>
      </w:r>
      <w:r w:rsidR="006E13A0">
        <w:rPr>
          <w:rFonts w:eastAsia="Verdana" w:cs="Verdana"/>
          <w:lang w:val="en-US"/>
        </w:rPr>
        <w:t xml:space="preserve"> </w:t>
      </w:r>
      <w:r w:rsidRPr="391FBE40" w:rsidR="7C790765">
        <w:rPr>
          <w:rFonts w:eastAsia="Verdana" w:cs="Verdana"/>
          <w:lang w:val="en-US"/>
        </w:rPr>
        <w:t>Sinking funds will not be returned to lessees upon assignment or at any other time.</w:t>
      </w:r>
    </w:p>
    <w:p w:rsidR="7DEC6CDC" w:rsidP="007B6B6B" w:rsidRDefault="00AB22A7" w14:paraId="1B49ACF9" w14:textId="45CD80DB">
      <w:pPr>
        <w:jc w:val="both"/>
        <w:rPr>
          <w:rFonts w:eastAsia="Verdana" w:cs="Verdana"/>
          <w:sz w:val="24"/>
          <w:lang w:val="en-US"/>
        </w:rPr>
      </w:pPr>
      <w:r w:rsidRPr="6E6DE770">
        <w:rPr>
          <w:rFonts w:eastAsia="Verdana" w:cs="Verdana"/>
          <w:b/>
          <w:bCs/>
          <w:sz w:val="24"/>
          <w:lang w:val="en-US"/>
        </w:rPr>
        <w:t>4.6</w:t>
      </w:r>
      <w:r>
        <w:tab/>
      </w:r>
      <w:r w:rsidRPr="6E6DE770" w:rsidR="7DEC6CDC">
        <w:rPr>
          <w:rFonts w:eastAsia="Verdana" w:cs="Verdana"/>
          <w:b/>
          <w:bCs/>
          <w:sz w:val="24"/>
          <w:lang w:val="en-US"/>
        </w:rPr>
        <w:t>Insufficient Funds</w:t>
      </w:r>
      <w:r w:rsidRPr="6E6DE770" w:rsidR="7DEC6CDC">
        <w:rPr>
          <w:rFonts w:eastAsia="Verdana" w:cs="Verdana"/>
          <w:sz w:val="24"/>
          <w:lang w:val="en-US"/>
        </w:rPr>
        <w:t xml:space="preserve"> </w:t>
      </w:r>
    </w:p>
    <w:p w:rsidRPr="001B1DD5" w:rsidR="007D4D58" w:rsidP="007B6B6B" w:rsidRDefault="007D4D58" w14:paraId="75960DAB" w14:textId="77777777">
      <w:pPr>
        <w:jc w:val="both"/>
        <w:rPr>
          <w:rFonts w:eastAsia="Verdana" w:cs="Verdana"/>
        </w:rPr>
      </w:pPr>
    </w:p>
    <w:p w:rsidRPr="00421C66" w:rsidR="61160D67" w:rsidP="007B6B6B" w:rsidRDefault="61160D67" w14:paraId="03FE28A1" w14:textId="2411B5EA">
      <w:pPr>
        <w:jc w:val="both"/>
        <w:rPr>
          <w:rFonts w:eastAsia="Verdana" w:cs="Verdana"/>
          <w:lang w:val="en-US"/>
        </w:rPr>
      </w:pPr>
      <w:r w:rsidRPr="6E6DE770">
        <w:rPr>
          <w:rFonts w:eastAsia="Verdana" w:cs="Verdana"/>
          <w:lang w:val="en-US"/>
        </w:rPr>
        <w:t xml:space="preserve">Failing to </w:t>
      </w:r>
      <w:r w:rsidRPr="6E6DE770" w:rsidR="7DEC6CDC">
        <w:rPr>
          <w:rFonts w:eastAsia="Verdana" w:cs="Verdana"/>
          <w:lang w:val="en-US"/>
        </w:rPr>
        <w:t>adequacy</w:t>
      </w:r>
      <w:r w:rsidRPr="6E6DE770" w:rsidR="4DEDA477">
        <w:rPr>
          <w:rFonts w:eastAsia="Verdana" w:cs="Verdana"/>
          <w:lang w:val="en-US"/>
        </w:rPr>
        <w:t xml:space="preserve"> manage</w:t>
      </w:r>
      <w:r w:rsidRPr="6E6DE770" w:rsidR="7DEC6CDC">
        <w:rPr>
          <w:rFonts w:eastAsia="Verdana" w:cs="Verdana"/>
          <w:lang w:val="en-US"/>
        </w:rPr>
        <w:t xml:space="preserve"> funds </w:t>
      </w:r>
      <w:r w:rsidRPr="6E6DE770" w:rsidR="44B56FC1">
        <w:rPr>
          <w:rFonts w:eastAsia="Verdana" w:cs="Verdana"/>
          <w:lang w:val="en-US"/>
        </w:rPr>
        <w:t xml:space="preserve">would leave the </w:t>
      </w:r>
      <w:r w:rsidR="00D35324">
        <w:rPr>
          <w:rFonts w:eastAsia="Verdana" w:cs="Verdana"/>
          <w:lang w:val="en-US"/>
        </w:rPr>
        <w:t>G</w:t>
      </w:r>
      <w:r w:rsidRPr="6E6DE770" w:rsidR="44B56FC1">
        <w:rPr>
          <w:rFonts w:eastAsia="Verdana" w:cs="Verdana"/>
          <w:lang w:val="en-US"/>
        </w:rPr>
        <w:t xml:space="preserve">roup open to challenge </w:t>
      </w:r>
      <w:r w:rsidRPr="6E6DE770" w:rsidR="7DEC6CDC">
        <w:rPr>
          <w:rFonts w:eastAsia="Verdana" w:cs="Verdana"/>
          <w:lang w:val="en-US"/>
        </w:rPr>
        <w:t xml:space="preserve">from lessees. Where </w:t>
      </w:r>
      <w:proofErr w:type="gramStart"/>
      <w:r w:rsidRPr="6E6DE770" w:rsidR="7DEC6CDC">
        <w:rPr>
          <w:rFonts w:eastAsia="Verdana" w:cs="Verdana"/>
          <w:lang w:val="en-US"/>
        </w:rPr>
        <w:t>works are</w:t>
      </w:r>
      <w:proofErr w:type="gramEnd"/>
      <w:r w:rsidRPr="6E6DE770" w:rsidR="7DEC6CDC">
        <w:rPr>
          <w:rFonts w:eastAsia="Verdana" w:cs="Verdana"/>
          <w:lang w:val="en-US"/>
        </w:rPr>
        <w:t xml:space="preserve"> required and funds are insufficient, </w:t>
      </w:r>
      <w:r w:rsidRPr="6E6DE770" w:rsidR="6D75E043">
        <w:rPr>
          <w:rFonts w:eastAsia="Verdana" w:cs="Verdana"/>
          <w:lang w:val="en-US"/>
        </w:rPr>
        <w:t>Redwing will</w:t>
      </w:r>
      <w:r w:rsidRPr="6E6DE770" w:rsidR="7DEC6CDC">
        <w:rPr>
          <w:rFonts w:eastAsia="Verdana" w:cs="Verdana"/>
          <w:lang w:val="en-US"/>
        </w:rPr>
        <w:t xml:space="preserve"> collect the shortfall from the leaseholders, as outlined in the lease. </w:t>
      </w:r>
    </w:p>
    <w:p w:rsidRPr="00421C66" w:rsidR="341E1D37" w:rsidP="007B6B6B" w:rsidRDefault="341E1D37" w14:paraId="41AED1A2" w14:textId="4FBD8AB7">
      <w:pPr>
        <w:jc w:val="both"/>
        <w:rPr>
          <w:rFonts w:eastAsia="Verdana" w:cs="Verdana"/>
          <w:lang w:val="en-US"/>
        </w:rPr>
      </w:pPr>
    </w:p>
    <w:p w:rsidRPr="00421C66" w:rsidR="7DEC6CDC" w:rsidP="007B6B6B" w:rsidRDefault="7DEC6CDC" w14:paraId="1D664535" w14:textId="72AF9501">
      <w:pPr>
        <w:jc w:val="both"/>
        <w:rPr>
          <w:rFonts w:eastAsia="Verdana" w:cs="Verdana"/>
          <w:lang w:val="en-US"/>
        </w:rPr>
      </w:pPr>
      <w:r w:rsidRPr="6E6DE770">
        <w:rPr>
          <w:rFonts w:eastAsia="Verdana" w:cs="Verdana"/>
          <w:lang w:val="en-US"/>
        </w:rPr>
        <w:t xml:space="preserve">Many leases do not permit a one-off charge to be levied outside of the normal service charge cycle. </w:t>
      </w:r>
      <w:r w:rsidRPr="6E6DE770" w:rsidR="2DDCF16B">
        <w:rPr>
          <w:rFonts w:eastAsia="Verdana" w:cs="Verdana"/>
          <w:lang w:val="en-US"/>
        </w:rPr>
        <w:t xml:space="preserve">In </w:t>
      </w:r>
      <w:r w:rsidRPr="6E6DE770">
        <w:rPr>
          <w:rFonts w:eastAsia="Verdana" w:cs="Verdana"/>
          <w:lang w:val="en-US"/>
        </w:rPr>
        <w:t xml:space="preserve">such situations </w:t>
      </w:r>
      <w:r w:rsidRPr="6E6DE770" w:rsidR="2E530FBF">
        <w:rPr>
          <w:rFonts w:eastAsia="Verdana" w:cs="Verdana"/>
          <w:lang w:val="en-US"/>
        </w:rPr>
        <w:t xml:space="preserve">the amount due would be added </w:t>
      </w:r>
      <w:r w:rsidRPr="6E6DE770">
        <w:rPr>
          <w:rFonts w:eastAsia="Verdana" w:cs="Verdana"/>
          <w:lang w:val="en-US"/>
        </w:rPr>
        <w:t xml:space="preserve">to the next </w:t>
      </w:r>
      <w:r w:rsidRPr="6E6DE770" w:rsidR="00C07327">
        <w:rPr>
          <w:rFonts w:eastAsia="Verdana" w:cs="Verdana"/>
          <w:lang w:val="en-US"/>
        </w:rPr>
        <w:t>budget or</w:t>
      </w:r>
      <w:r w:rsidRPr="6E6DE770">
        <w:rPr>
          <w:rFonts w:eastAsia="Verdana" w:cs="Verdana"/>
          <w:lang w:val="en-US"/>
        </w:rPr>
        <w:t xml:space="preserve"> </w:t>
      </w:r>
      <w:r w:rsidR="00E64C35">
        <w:rPr>
          <w:rFonts w:eastAsia="Verdana" w:cs="Verdana"/>
          <w:lang w:val="en-US"/>
        </w:rPr>
        <w:t>would be</w:t>
      </w:r>
      <w:r w:rsidRPr="6E6DE770">
        <w:rPr>
          <w:rFonts w:eastAsia="Verdana" w:cs="Verdana"/>
          <w:lang w:val="en-US"/>
        </w:rPr>
        <w:t xml:space="preserve"> charge</w:t>
      </w:r>
      <w:r w:rsidRPr="6E6DE770" w:rsidR="4C1E7471">
        <w:rPr>
          <w:rFonts w:eastAsia="Verdana" w:cs="Verdana"/>
          <w:lang w:val="en-US"/>
        </w:rPr>
        <w:t>d</w:t>
      </w:r>
      <w:r w:rsidRPr="6E6DE770">
        <w:rPr>
          <w:rFonts w:eastAsia="Verdana" w:cs="Verdana"/>
          <w:lang w:val="en-US"/>
        </w:rPr>
        <w:t xml:space="preserve"> as </w:t>
      </w:r>
      <w:r w:rsidR="00E64C35">
        <w:rPr>
          <w:rFonts w:eastAsia="Verdana" w:cs="Verdana"/>
          <w:lang w:val="en-US"/>
        </w:rPr>
        <w:t xml:space="preserve">part of </w:t>
      </w:r>
      <w:r w:rsidR="00C07327">
        <w:rPr>
          <w:rFonts w:eastAsia="Verdana" w:cs="Verdana"/>
          <w:lang w:val="en-US"/>
        </w:rPr>
        <w:t>the</w:t>
      </w:r>
      <w:r w:rsidRPr="6E6DE770">
        <w:rPr>
          <w:rFonts w:eastAsia="Verdana" w:cs="Verdana"/>
          <w:lang w:val="en-US"/>
        </w:rPr>
        <w:t xml:space="preserve"> deficit after the end of the financial year. </w:t>
      </w:r>
    </w:p>
    <w:p w:rsidRPr="00421C66" w:rsidR="341E1D37" w:rsidP="007B6B6B" w:rsidRDefault="341E1D37" w14:paraId="6A46E18B" w14:textId="48098B7E">
      <w:pPr>
        <w:jc w:val="both"/>
        <w:rPr>
          <w:rFonts w:eastAsia="Verdana" w:cs="Verdana"/>
          <w:lang w:val="en-US"/>
        </w:rPr>
      </w:pPr>
    </w:p>
    <w:p w:rsidR="00E64C35" w:rsidP="095827AB" w:rsidRDefault="7DEC6CDC" w14:paraId="7AF3F744" w14:textId="5863E4DC">
      <w:pPr>
        <w:jc w:val="both"/>
        <w:rPr>
          <w:rFonts w:eastAsia="Verdana" w:cs="Verdana"/>
        </w:rPr>
      </w:pPr>
      <w:r w:rsidRPr="095827AB">
        <w:rPr>
          <w:rFonts w:eastAsia="Verdana" w:cs="Verdana"/>
        </w:rPr>
        <w:t xml:space="preserve">Section 20B of Landlord &amp; Tenant Act 1985 restricts the charging of costs incurred more than 18 months previously. </w:t>
      </w:r>
      <w:r w:rsidRPr="095827AB" w:rsidR="00E64C35">
        <w:rPr>
          <w:rFonts w:eastAsia="Verdana" w:cs="Verdana"/>
        </w:rPr>
        <w:t xml:space="preserve">If it becomes apparent that the demand for the work could fall outside the </w:t>
      </w:r>
      <w:r w:rsidRPr="095827AB" w:rsidR="0084792E">
        <w:rPr>
          <w:rFonts w:eastAsia="Verdana" w:cs="Verdana"/>
        </w:rPr>
        <w:t>18-month</w:t>
      </w:r>
      <w:r w:rsidRPr="095827AB" w:rsidR="00E64C35">
        <w:rPr>
          <w:rFonts w:eastAsia="Verdana" w:cs="Verdana"/>
        </w:rPr>
        <w:t xml:space="preserve"> period, a notice under Section 20B</w:t>
      </w:r>
      <w:r w:rsidRPr="095827AB" w:rsidR="0084792E">
        <w:rPr>
          <w:rFonts w:eastAsia="Verdana" w:cs="Verdana"/>
        </w:rPr>
        <w:t xml:space="preserve"> </w:t>
      </w:r>
      <w:r w:rsidRPr="095827AB" w:rsidR="00E64C35">
        <w:rPr>
          <w:rFonts w:eastAsia="Verdana" w:cs="Verdana"/>
        </w:rPr>
        <w:t>(2) should be served within that 18</w:t>
      </w:r>
      <w:r w:rsidRPr="095827AB" w:rsidR="00C07327">
        <w:rPr>
          <w:rFonts w:eastAsia="Verdana" w:cs="Verdana"/>
        </w:rPr>
        <w:t>-</w:t>
      </w:r>
      <w:r w:rsidRPr="095827AB" w:rsidR="00E64C35">
        <w:rPr>
          <w:rFonts w:eastAsia="Verdana" w:cs="Verdana"/>
        </w:rPr>
        <w:t xml:space="preserve"> month</w:t>
      </w:r>
      <w:r w:rsidRPr="095827AB" w:rsidR="00C07327">
        <w:rPr>
          <w:rFonts w:eastAsia="Verdana" w:cs="Verdana"/>
        </w:rPr>
        <w:t xml:space="preserve"> </w:t>
      </w:r>
      <w:r w:rsidRPr="095827AB" w:rsidR="00E64C35">
        <w:rPr>
          <w:rFonts w:eastAsia="Verdana" w:cs="Verdana"/>
        </w:rPr>
        <w:t xml:space="preserve">period.  </w:t>
      </w:r>
    </w:p>
    <w:p w:rsidR="00421C66" w:rsidP="3E5E8E2D" w:rsidRDefault="00421C66" w14:paraId="7A948A5F" w14:textId="5AE23CEF">
      <w:pPr>
        <w:autoSpaceDE w:val="0"/>
        <w:autoSpaceDN w:val="0"/>
        <w:adjustRightInd w:val="0"/>
        <w:jc w:val="both"/>
        <w:rPr>
          <w:rFonts w:eastAsia="Verdana" w:cs="Verdana"/>
          <w:lang w:val="en-US"/>
        </w:rPr>
      </w:pPr>
    </w:p>
    <w:p w:rsidRPr="00421C66" w:rsidR="00DC3A14" w:rsidP="007B6B6B" w:rsidRDefault="7F2D155E" w14:paraId="36EF5348" w14:textId="051C1510">
      <w:pPr>
        <w:autoSpaceDE w:val="0"/>
        <w:autoSpaceDN w:val="0"/>
        <w:adjustRightInd w:val="0"/>
        <w:jc w:val="both"/>
        <w:rPr>
          <w:rStyle w:val="legschedulenolegheadingref1"/>
          <w:rFonts w:eastAsia="Verdana" w:cs="Verdana"/>
          <w:b/>
          <w:lang w:val="en-US"/>
        </w:rPr>
      </w:pPr>
      <w:r w:rsidRPr="66135721">
        <w:rPr>
          <w:rStyle w:val="legschedulenolegheadingref1"/>
          <w:rFonts w:eastAsia="Verdana" w:cs="Verdana"/>
          <w:b/>
          <w:lang w:val="en-US"/>
          <w:specVanish w:val="0"/>
        </w:rPr>
        <w:t>4</w:t>
      </w:r>
      <w:r w:rsidRPr="66135721" w:rsidR="71610C34">
        <w:rPr>
          <w:rStyle w:val="legschedulenolegheadingref1"/>
          <w:rFonts w:eastAsia="Verdana" w:cs="Verdana"/>
          <w:b/>
          <w:lang w:val="en-US"/>
          <w:specVanish w:val="0"/>
        </w:rPr>
        <w:t>.7</w:t>
      </w:r>
      <w:r w:rsidRPr="00421C66" w:rsidR="00DC3A14">
        <w:tab/>
      </w:r>
      <w:r w:rsidRPr="66135721" w:rsidR="00DC3A14">
        <w:rPr>
          <w:rStyle w:val="legschedulenolegheadingref1"/>
          <w:rFonts w:eastAsia="Verdana" w:cs="Verdana"/>
          <w:b/>
          <w:lang w:val="en-US"/>
          <w:specVanish w:val="0"/>
        </w:rPr>
        <w:t xml:space="preserve"> </w:t>
      </w:r>
      <w:r w:rsidRPr="66135721" w:rsidR="00421C66">
        <w:rPr>
          <w:rStyle w:val="legschedulenolegheadingref1"/>
          <w:rFonts w:eastAsia="Verdana" w:cs="Verdana"/>
          <w:b/>
          <w:lang w:val="en-US"/>
          <w:specVanish w:val="0"/>
        </w:rPr>
        <w:t xml:space="preserve">Sinking Funds Collected </w:t>
      </w:r>
      <w:r w:rsidR="00D35324">
        <w:rPr>
          <w:rStyle w:val="legschedulenolegheadingref1"/>
          <w:rFonts w:eastAsia="Verdana" w:cs="Verdana"/>
          <w:b/>
          <w:lang w:val="en-US"/>
          <w:specVanish w:val="0"/>
        </w:rPr>
        <w:t>o</w:t>
      </w:r>
      <w:r w:rsidRPr="66135721" w:rsidR="00421C66">
        <w:rPr>
          <w:rStyle w:val="legschedulenolegheadingref1"/>
          <w:rFonts w:eastAsia="Verdana" w:cs="Verdana"/>
          <w:b/>
          <w:lang w:val="en-US"/>
          <w:specVanish w:val="0"/>
        </w:rPr>
        <w:t xml:space="preserve">n </w:t>
      </w:r>
      <w:r w:rsidRPr="66135721" w:rsidR="36605962">
        <w:rPr>
          <w:rStyle w:val="legschedulenolegheadingref1"/>
          <w:rFonts w:eastAsia="Verdana" w:cs="Verdana"/>
          <w:b/>
          <w:lang w:val="en-US"/>
          <w:specVanish w:val="0"/>
        </w:rPr>
        <w:t>Sale</w:t>
      </w:r>
      <w:r w:rsidRPr="66135721" w:rsidR="00DC3A14">
        <w:rPr>
          <w:rStyle w:val="legschedulenolegheadingref1"/>
          <w:rFonts w:eastAsia="Verdana" w:cs="Verdana"/>
          <w:b/>
          <w:lang w:val="en-US"/>
          <w:specVanish w:val="0"/>
        </w:rPr>
        <w:t xml:space="preserve"> </w:t>
      </w:r>
    </w:p>
    <w:p w:rsidR="6E6DE770" w:rsidP="007B6B6B" w:rsidRDefault="6E6DE770" w14:paraId="1B1D2602" w14:textId="5D0D4464">
      <w:pPr>
        <w:jc w:val="both"/>
        <w:rPr>
          <w:rFonts w:eastAsia="Verdana" w:cs="Verdana"/>
          <w:color w:val="auto"/>
          <w:szCs w:val="22"/>
          <w:lang w:val="en-US"/>
        </w:rPr>
      </w:pPr>
    </w:p>
    <w:p w:rsidR="76E1E512" w:rsidP="007B6B6B" w:rsidRDefault="76E1E512" w14:paraId="1B5B99E8" w14:textId="00C970B0">
      <w:pPr>
        <w:jc w:val="both"/>
        <w:rPr>
          <w:rFonts w:eastAsia="Verdana" w:cs="Verdana"/>
          <w:color w:val="auto"/>
          <w:lang w:val="en-US"/>
        </w:rPr>
      </w:pPr>
      <w:r w:rsidRPr="71DA5287">
        <w:rPr>
          <w:rFonts w:eastAsia="Verdana" w:cs="Verdana"/>
          <w:color w:val="auto"/>
          <w:lang w:val="en-US"/>
        </w:rPr>
        <w:t>The amount paid by leaseholders to a sinking fund at the point of sale is always defined in the le</w:t>
      </w:r>
      <w:r w:rsidRPr="71DA5287" w:rsidR="6F065431">
        <w:rPr>
          <w:rFonts w:eastAsia="Verdana" w:cs="Verdana"/>
          <w:color w:val="auto"/>
          <w:lang w:val="en-US"/>
        </w:rPr>
        <w:t>ase agreement, and this can vary between developments</w:t>
      </w:r>
      <w:r w:rsidRPr="71DA5287">
        <w:rPr>
          <w:rFonts w:eastAsia="Verdana" w:cs="Verdana"/>
          <w:color w:val="auto"/>
          <w:lang w:val="en-US"/>
        </w:rPr>
        <w:t>. Typically</w:t>
      </w:r>
      <w:r w:rsidRPr="71DA5287" w:rsidR="00E64C35">
        <w:rPr>
          <w:rFonts w:eastAsia="Verdana" w:cs="Verdana"/>
          <w:color w:val="auto"/>
          <w:lang w:val="en-US"/>
        </w:rPr>
        <w:t>,</w:t>
      </w:r>
      <w:r w:rsidRPr="71DA5287">
        <w:rPr>
          <w:rFonts w:eastAsia="Verdana" w:cs="Verdana"/>
          <w:color w:val="auto"/>
          <w:lang w:val="en-US"/>
        </w:rPr>
        <w:t xml:space="preserve"> </w:t>
      </w:r>
      <w:r w:rsidRPr="71DA5287" w:rsidR="0B478A59">
        <w:rPr>
          <w:rFonts w:eastAsia="Verdana" w:cs="Verdana"/>
          <w:color w:val="auto"/>
          <w:lang w:val="en-US"/>
        </w:rPr>
        <w:t>leaseholders w</w:t>
      </w:r>
      <w:r w:rsidRPr="71DA5287">
        <w:rPr>
          <w:rFonts w:eastAsia="Verdana" w:cs="Verdana"/>
          <w:color w:val="auto"/>
          <w:lang w:val="en-US"/>
        </w:rPr>
        <w:t xml:space="preserve">ill pay a percentage of the open market valuation of </w:t>
      </w:r>
      <w:r w:rsidRPr="71DA5287" w:rsidR="00E64C35">
        <w:rPr>
          <w:rFonts w:eastAsia="Verdana" w:cs="Verdana"/>
          <w:color w:val="auto"/>
          <w:lang w:val="en-US"/>
        </w:rPr>
        <w:t>the</w:t>
      </w:r>
      <w:r w:rsidRPr="71DA5287">
        <w:rPr>
          <w:rFonts w:eastAsia="Verdana" w:cs="Verdana"/>
          <w:color w:val="auto"/>
          <w:lang w:val="en-US"/>
        </w:rPr>
        <w:t xml:space="preserve"> property for each year of ownership, apportioned as necessary. </w:t>
      </w:r>
      <w:r w:rsidRPr="71DA5287" w:rsidR="002121EC">
        <w:rPr>
          <w:rFonts w:eastAsia="Verdana" w:cs="Verdana"/>
          <w:color w:val="auto"/>
          <w:lang w:val="en-US"/>
        </w:rPr>
        <w:t>A</w:t>
      </w:r>
      <w:r w:rsidRPr="71DA5287">
        <w:rPr>
          <w:rFonts w:eastAsia="Verdana" w:cs="Verdana"/>
          <w:color w:val="auto"/>
          <w:lang w:val="en-US"/>
        </w:rPr>
        <w:t xml:space="preserve">ll leaseholders </w:t>
      </w:r>
      <w:r w:rsidRPr="71DA5287" w:rsidR="7C1B62DA">
        <w:rPr>
          <w:rFonts w:eastAsia="Verdana" w:cs="Verdana"/>
          <w:color w:val="auto"/>
          <w:lang w:val="en-US"/>
        </w:rPr>
        <w:t xml:space="preserve">within a development </w:t>
      </w:r>
      <w:r w:rsidRPr="71DA5287">
        <w:rPr>
          <w:rFonts w:eastAsia="Verdana" w:cs="Verdana"/>
          <w:color w:val="auto"/>
          <w:lang w:val="en-US"/>
        </w:rPr>
        <w:t>contribute in the same way</w:t>
      </w:r>
      <w:r w:rsidRPr="71DA5287" w:rsidR="00E64C35">
        <w:rPr>
          <w:rFonts w:eastAsia="Verdana" w:cs="Verdana"/>
          <w:color w:val="auto"/>
          <w:lang w:val="en-US"/>
        </w:rPr>
        <w:t>, usually based on the same calculation. However, each lease should be considered when the service charge on exit is being calculated.</w:t>
      </w:r>
    </w:p>
    <w:p w:rsidR="6E6DE770" w:rsidP="007B6B6B" w:rsidRDefault="6E6DE770" w14:paraId="58D28262" w14:textId="152C7746">
      <w:pPr>
        <w:jc w:val="both"/>
        <w:rPr>
          <w:rFonts w:eastAsia="Verdana" w:cs="Verdana"/>
          <w:color w:val="auto"/>
          <w:szCs w:val="22"/>
          <w:lang w:val="en-US"/>
        </w:rPr>
      </w:pPr>
    </w:p>
    <w:p w:rsidR="43C68282" w:rsidP="095827AB" w:rsidRDefault="43C68282" w14:paraId="5FD9E2CF" w14:textId="6B8A8E84">
      <w:pPr>
        <w:jc w:val="both"/>
        <w:rPr>
          <w:rFonts w:eastAsia="Verdana" w:cs="Verdana"/>
          <w:color w:val="auto"/>
        </w:rPr>
      </w:pPr>
      <w:r w:rsidRPr="095827AB">
        <w:rPr>
          <w:rFonts w:eastAsia="Verdana" w:cs="Verdana"/>
          <w:color w:val="auto"/>
        </w:rPr>
        <w:t xml:space="preserve">Redwing will not amend or vary the contribution made by leaseholders to the sinking fund on sale, even if the fund has sufficient money available to cover the cost of anticipated works.  </w:t>
      </w:r>
    </w:p>
    <w:p w:rsidR="095827AB" w:rsidP="095827AB" w:rsidRDefault="095827AB" w14:paraId="4E055DD8" w14:textId="65FC6A0A">
      <w:pPr>
        <w:jc w:val="both"/>
        <w:rPr>
          <w:rFonts w:eastAsia="Verdana" w:cs="Verdana"/>
          <w:color w:val="auto"/>
        </w:rPr>
      </w:pPr>
    </w:p>
    <w:p w:rsidR="69AF0970" w:rsidP="095827AB" w:rsidRDefault="69AF0970" w14:paraId="4A8572D1" w14:textId="7BBC368F">
      <w:pPr>
        <w:jc w:val="both"/>
        <w:rPr>
          <w:rFonts w:eastAsia="Verdana" w:cs="Verdana"/>
          <w:b/>
          <w:bCs/>
          <w:color w:val="auto"/>
          <w:sz w:val="24"/>
        </w:rPr>
      </w:pPr>
      <w:r w:rsidRPr="391FBE40">
        <w:rPr>
          <w:rFonts w:eastAsia="Verdana" w:cs="Verdana"/>
          <w:b/>
          <w:bCs/>
          <w:color w:val="auto"/>
          <w:sz w:val="24"/>
        </w:rPr>
        <w:t>4.8</w:t>
      </w:r>
      <w:r>
        <w:tab/>
      </w:r>
      <w:r w:rsidRPr="391FBE40">
        <w:rPr>
          <w:rFonts w:eastAsia="Verdana" w:cs="Verdana"/>
          <w:b/>
          <w:bCs/>
          <w:color w:val="auto"/>
          <w:sz w:val="24"/>
        </w:rPr>
        <w:t xml:space="preserve">Legislative Considerations </w:t>
      </w:r>
    </w:p>
    <w:p w:rsidR="6E6DE770" w:rsidP="391FBE40" w:rsidRDefault="6E6DE770" w14:paraId="396740CF" w14:textId="3A86DEE3">
      <w:pPr>
        <w:jc w:val="both"/>
        <w:rPr>
          <w:rFonts w:eastAsia="Verdana" w:cs="Verdana"/>
          <w:b/>
          <w:bCs/>
          <w:color w:val="auto"/>
          <w:sz w:val="24"/>
        </w:rPr>
      </w:pPr>
    </w:p>
    <w:p w:rsidR="6E6DE770" w:rsidP="3E5E8E2D" w:rsidRDefault="6303AAED" w14:paraId="50794F14" w14:textId="13EB079B">
      <w:pPr>
        <w:jc w:val="both"/>
        <w:rPr>
          <w:rFonts w:eastAsia="Verdana" w:cs="Verdana"/>
          <w:color w:val="auto"/>
        </w:rPr>
      </w:pPr>
      <w:r w:rsidRPr="3E5E8E2D">
        <w:rPr>
          <w:rFonts w:eastAsia="Verdana" w:cs="Verdana"/>
          <w:color w:val="auto"/>
          <w:szCs w:val="22"/>
        </w:rPr>
        <w:t>When managing sinking funds, Redwing must ensure compliance with both legal requirements and lease provisions. The following principles will be observed:</w:t>
      </w:r>
    </w:p>
    <w:p w:rsidR="6E6DE770" w:rsidP="3E5E8E2D" w:rsidRDefault="6E6DE770" w14:paraId="299C5034" w14:textId="1E30F711">
      <w:pPr>
        <w:jc w:val="both"/>
        <w:rPr>
          <w:rFonts w:eastAsia="Verdana" w:cs="Verdana"/>
          <w:b/>
          <w:bCs/>
          <w:color w:val="auto"/>
        </w:rPr>
      </w:pPr>
    </w:p>
    <w:p w:rsidR="6E6DE770" w:rsidP="00A56FF4" w:rsidRDefault="6303AAED" w14:paraId="5EFCC6F0" w14:textId="706C3588">
      <w:pPr>
        <w:pStyle w:val="ListParagraph"/>
        <w:ind w:left="0"/>
        <w:rPr>
          <w:rFonts w:eastAsia="Verdana" w:cs="Verdana"/>
          <w:color w:val="auto"/>
        </w:rPr>
      </w:pPr>
      <w:r w:rsidRPr="3E5E8E2D">
        <w:rPr>
          <w:rFonts w:eastAsia="Verdana" w:cs="Verdana"/>
          <w:b/>
          <w:bCs/>
          <w:color w:val="auto"/>
          <w:szCs w:val="22"/>
        </w:rPr>
        <w:t>Lease Authority</w:t>
      </w:r>
      <w:r w:rsidR="6E6DE770">
        <w:br/>
      </w:r>
      <w:r w:rsidRPr="3E5E8E2D">
        <w:rPr>
          <w:rFonts w:eastAsia="Verdana" w:cs="Verdana"/>
          <w:color w:val="auto"/>
          <w:szCs w:val="22"/>
        </w:rPr>
        <w:t>Redwing may only collect contributions toward a sinking (or reserve) fund where the lease explicitly permits such charges. Each lease must be reviewed to confirm this authority prior to any collection.</w:t>
      </w:r>
    </w:p>
    <w:p w:rsidR="6E6DE770" w:rsidP="00A56FF4" w:rsidRDefault="6E6DE770" w14:paraId="78B5416D" w14:textId="485750D2">
      <w:pPr>
        <w:pStyle w:val="ListParagraph"/>
        <w:ind w:left="0"/>
        <w:jc w:val="both"/>
        <w:rPr>
          <w:rFonts w:eastAsia="Verdana" w:cs="Verdana"/>
          <w:color w:val="auto"/>
        </w:rPr>
      </w:pPr>
    </w:p>
    <w:p w:rsidR="6E6DE770" w:rsidP="00A56FF4" w:rsidRDefault="6303AAED" w14:paraId="30958C5E" w14:textId="1C48E550">
      <w:pPr>
        <w:pStyle w:val="ListParagraph"/>
        <w:ind w:left="0"/>
        <w:rPr>
          <w:rFonts w:eastAsia="Verdana" w:cs="Verdana"/>
          <w:color w:val="auto"/>
        </w:rPr>
      </w:pPr>
      <w:r w:rsidRPr="3E5E8E2D">
        <w:rPr>
          <w:rFonts w:eastAsia="Verdana" w:cs="Verdana"/>
          <w:b/>
          <w:bCs/>
          <w:color w:val="auto"/>
          <w:szCs w:val="22"/>
        </w:rPr>
        <w:t>Appropriate Use of Funds</w:t>
      </w:r>
      <w:r w:rsidR="6E6DE770">
        <w:br/>
      </w:r>
      <w:r w:rsidRPr="3E5E8E2D">
        <w:rPr>
          <w:rFonts w:eastAsia="Verdana" w:cs="Verdana"/>
          <w:color w:val="auto"/>
          <w:szCs w:val="22"/>
        </w:rPr>
        <w:t>Expenditure from the sinking fund must align with the purpose defined in the lease. Typically, this includes major, non-recurring works such as structural repairs or significant refurbishments.</w:t>
      </w:r>
    </w:p>
    <w:p w:rsidR="6E6DE770" w:rsidP="00A56FF4" w:rsidRDefault="6E6DE770" w14:paraId="35E305D7" w14:textId="161F76B9">
      <w:pPr>
        <w:pStyle w:val="ListParagraph"/>
        <w:ind w:left="0"/>
        <w:jc w:val="both"/>
        <w:rPr>
          <w:rFonts w:eastAsia="Verdana" w:cs="Verdana"/>
          <w:color w:val="auto"/>
        </w:rPr>
      </w:pPr>
    </w:p>
    <w:p w:rsidR="6E6DE770" w:rsidP="00A56FF4" w:rsidRDefault="6303AAED" w14:paraId="44620352" w14:textId="70D63A63">
      <w:pPr>
        <w:pStyle w:val="ListParagraph"/>
        <w:ind w:left="0"/>
        <w:rPr>
          <w:rFonts w:eastAsia="Verdana" w:cs="Verdana"/>
          <w:color w:val="auto"/>
        </w:rPr>
      </w:pPr>
      <w:r w:rsidRPr="3E5E8E2D">
        <w:rPr>
          <w:rFonts w:eastAsia="Verdana" w:cs="Verdana"/>
          <w:b/>
          <w:bCs/>
          <w:color w:val="auto"/>
          <w:szCs w:val="22"/>
        </w:rPr>
        <w:t>Reasonableness of Charges</w:t>
      </w:r>
      <w:r w:rsidR="6E6DE770">
        <w:br/>
      </w:r>
      <w:r w:rsidRPr="3E5E8E2D">
        <w:rPr>
          <w:rFonts w:eastAsia="Verdana" w:cs="Verdana"/>
          <w:color w:val="auto"/>
          <w:szCs w:val="22"/>
        </w:rPr>
        <w:t xml:space="preserve">All contributions must be reasonable in accordance with Section 19 of the Landlord and </w:t>
      </w:r>
      <w:r w:rsidRPr="3E5E8E2D">
        <w:rPr>
          <w:rFonts w:eastAsia="Verdana" w:cs="Verdana"/>
          <w:color w:val="auto"/>
          <w:szCs w:val="22"/>
        </w:rPr>
        <w:lastRenderedPageBreak/>
        <w:t>Tenant Act 1985. Leaseholders have the right to challenge any charges they believe to be excessive or unjustified through the First-tier Tribunal (Property Chamber).</w:t>
      </w:r>
    </w:p>
    <w:p w:rsidRPr="001B1DD5" w:rsidR="006B21CA" w:rsidP="391FBE40" w:rsidRDefault="006B21CA" w14:paraId="6B10E656" w14:textId="77777777">
      <w:pPr>
        <w:jc w:val="both"/>
        <w:rPr>
          <w:rFonts w:eastAsia="Verdana" w:cs="Verdana"/>
          <w:color w:val="auto"/>
        </w:rPr>
      </w:pPr>
    </w:p>
    <w:p w:rsidR="006B21CA" w:rsidP="007B6B6B" w:rsidRDefault="00865D3E" w14:paraId="6EE8388E" w14:textId="1690F9AA">
      <w:pPr>
        <w:pStyle w:val="Heading1"/>
        <w:numPr>
          <w:ilvl w:val="0"/>
          <w:numId w:val="36"/>
        </w:numPr>
        <w:jc w:val="both"/>
        <w:rPr>
          <w:rFonts w:eastAsia="Verdana" w:cs="Verdana"/>
          <w:lang w:bidi="en-GB"/>
        </w:rPr>
      </w:pPr>
      <w:bookmarkStart w:name="_Toc41381244" w:id="8"/>
      <w:bookmarkStart w:name="_Toc88569006" w:id="9"/>
      <w:r w:rsidRPr="6E6DE770">
        <w:rPr>
          <w:rFonts w:eastAsia="Verdana" w:cs="Verdana"/>
          <w:lang w:bidi="en-GB"/>
        </w:rPr>
        <w:t xml:space="preserve"> </w:t>
      </w:r>
      <w:r w:rsidRPr="6E6DE770" w:rsidR="006B21CA">
        <w:rPr>
          <w:rFonts w:eastAsia="Verdana" w:cs="Verdana"/>
          <w:lang w:bidi="en-GB"/>
        </w:rPr>
        <w:t>Associated documents</w:t>
      </w:r>
      <w:bookmarkEnd w:id="8"/>
      <w:bookmarkEnd w:id="9"/>
    </w:p>
    <w:p w:rsidRPr="007B6B6B" w:rsidR="007B6B6B" w:rsidP="007B6B6B" w:rsidRDefault="007B6B6B" w14:paraId="334E1E44" w14:textId="77777777">
      <w:pPr>
        <w:jc w:val="both"/>
        <w:rPr>
          <w:lang w:bidi="en-GB"/>
        </w:rPr>
      </w:pPr>
    </w:p>
    <w:p w:rsidRPr="001B1DD5" w:rsidR="00BA4F90" w:rsidP="3E5E8E2D" w:rsidRDefault="006B21CA" w14:paraId="5F5B9643" w14:textId="106BF57A">
      <w:pPr>
        <w:pStyle w:val="Heading2"/>
        <w:numPr>
          <w:ilvl w:val="1"/>
          <w:numId w:val="36"/>
        </w:numPr>
        <w:ind w:left="1134" w:hanging="1134"/>
        <w:jc w:val="both"/>
        <w:rPr>
          <w:rFonts w:eastAsia="Verdana" w:cs="Verdana"/>
          <w:lang w:bidi="en-GB"/>
        </w:rPr>
      </w:pPr>
      <w:bookmarkStart w:name="_Toc41381245" w:id="10"/>
      <w:bookmarkStart w:name="_Toc88569007" w:id="11"/>
      <w:r w:rsidRPr="3E5E8E2D">
        <w:rPr>
          <w:rFonts w:eastAsia="Verdana" w:cs="Verdana"/>
          <w:lang w:bidi="en-GB"/>
        </w:rPr>
        <w:t xml:space="preserve">Associated legislation, </w:t>
      </w:r>
      <w:r w:rsidRPr="3E5E8E2D" w:rsidR="00B46B16">
        <w:rPr>
          <w:rFonts w:eastAsia="Verdana" w:cs="Verdana"/>
          <w:lang w:bidi="en-GB"/>
        </w:rPr>
        <w:t>regulation,</w:t>
      </w:r>
      <w:r w:rsidRPr="3E5E8E2D">
        <w:rPr>
          <w:rFonts w:eastAsia="Verdana" w:cs="Verdana"/>
          <w:lang w:bidi="en-GB"/>
        </w:rPr>
        <w:t xml:space="preserve"> and guidance</w:t>
      </w:r>
      <w:bookmarkEnd w:id="10"/>
      <w:bookmarkEnd w:id="11"/>
    </w:p>
    <w:p w:rsidRPr="001B1DD5" w:rsidR="00B46B16" w:rsidP="007B6B6B" w:rsidRDefault="00B46B16" w14:paraId="4914072F" w14:textId="77777777">
      <w:pPr>
        <w:jc w:val="both"/>
        <w:rPr>
          <w:rFonts w:eastAsia="Verdana" w:cs="Verdana"/>
          <w:lang w:bidi="en-GB"/>
        </w:rPr>
      </w:pPr>
    </w:p>
    <w:tbl>
      <w:tblPr>
        <w:tblStyle w:val="ListTable4"/>
        <w:tblW w:w="0" w:type="auto"/>
        <w:tblLook w:val="04A0" w:firstRow="1" w:lastRow="0" w:firstColumn="1" w:lastColumn="0" w:noHBand="0" w:noVBand="1"/>
      </w:tblPr>
      <w:tblGrid>
        <w:gridCol w:w="10450"/>
      </w:tblGrid>
      <w:tr w:rsidRPr="001B1DD5" w:rsidR="00B46B16" w:rsidTr="3E5E8E2D" w14:paraId="158E8AF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tcPr>
          <w:p w:rsidRPr="001B1DD5" w:rsidR="00B46B16" w:rsidP="007B6B6B" w:rsidRDefault="00B46B16" w14:paraId="13F76947" w14:textId="482A9A40">
            <w:pPr>
              <w:jc w:val="both"/>
              <w:rPr>
                <w:rFonts w:eastAsia="Verdana" w:cs="Verdana"/>
                <w:b w:val="0"/>
                <w:bCs w:val="0"/>
                <w:lang w:bidi="en-GB"/>
              </w:rPr>
            </w:pPr>
            <w:r w:rsidRPr="6E6DE770">
              <w:rPr>
                <w:rFonts w:eastAsia="Verdana" w:cs="Verdana"/>
                <w:color w:val="FFFFFF" w:themeColor="background1"/>
                <w:lang w:bidi="en-GB"/>
              </w:rPr>
              <w:t>Associated legislation, regulation and external standards</w:t>
            </w:r>
          </w:p>
        </w:tc>
      </w:tr>
      <w:tr w:rsidRPr="001B1DD5" w:rsidR="00B46B16" w:rsidTr="000C03FD" w14:paraId="72D7229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shd w:val="clear" w:color="auto" w:fill="FFFFFF" w:themeFill="background1"/>
          </w:tcPr>
          <w:p w:rsidRPr="001B1DD5" w:rsidR="00B46B16" w:rsidP="3E5E8E2D" w:rsidRDefault="0F87A7E8" w14:paraId="18759B65" w14:textId="73E85721">
            <w:pPr>
              <w:jc w:val="both"/>
              <w:rPr>
                <w:rFonts w:eastAsia="Verdana" w:cs="Verdana"/>
                <w:lang w:bidi="en-GB"/>
              </w:rPr>
            </w:pPr>
            <w:r w:rsidRPr="3E5E8E2D">
              <w:rPr>
                <w:rFonts w:eastAsia="Verdana" w:cs="Verdana"/>
              </w:rPr>
              <w:t>Landlord and Tenant Act 1985</w:t>
            </w:r>
            <w:r w:rsidRPr="3E5E8E2D" w:rsidR="69E5FD66">
              <w:rPr>
                <w:rFonts w:eastAsia="Verdana" w:cs="Verdana"/>
              </w:rPr>
              <w:t xml:space="preserve"> &amp; 1987</w:t>
            </w:r>
          </w:p>
        </w:tc>
      </w:tr>
      <w:tr w:rsidRPr="001B1DD5" w:rsidR="00B46B16" w:rsidTr="000C03FD" w14:paraId="43EC6A5A" w14:textId="77777777">
        <w:tc>
          <w:tcPr>
            <w:cnfStyle w:val="001000000000" w:firstRow="0" w:lastRow="0" w:firstColumn="1" w:lastColumn="0" w:oddVBand="0" w:evenVBand="0" w:oddHBand="0" w:evenHBand="0" w:firstRowFirstColumn="0" w:firstRowLastColumn="0" w:lastRowFirstColumn="0" w:lastRowLastColumn="0"/>
            <w:tcW w:w="10450" w:type="dxa"/>
            <w:shd w:val="clear" w:color="auto" w:fill="FFFFFF" w:themeFill="background1"/>
          </w:tcPr>
          <w:p w:rsidRPr="001B1DD5" w:rsidR="00E64C35" w:rsidP="007B6B6B" w:rsidRDefault="0F87A7E8" w14:paraId="4257F8B1" w14:textId="6AA3BB2D">
            <w:pPr>
              <w:jc w:val="both"/>
              <w:rPr>
                <w:rFonts w:eastAsia="Verdana" w:cs="Verdana"/>
                <w:b w:val="0"/>
                <w:bCs w:val="0"/>
                <w:lang w:bidi="en-GB"/>
              </w:rPr>
            </w:pPr>
            <w:r w:rsidRPr="3E5E8E2D">
              <w:rPr>
                <w:rFonts w:eastAsia="Verdana" w:cs="Verdana"/>
              </w:rPr>
              <w:t>Housing Acts 1988 &amp; 1996</w:t>
            </w:r>
          </w:p>
        </w:tc>
      </w:tr>
      <w:tr w:rsidRPr="00707007" w:rsidR="006D04BB" w:rsidTr="000C03FD" w14:paraId="68E3DE5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shd w:val="clear" w:color="auto" w:fill="FFFFFF" w:themeFill="background1"/>
          </w:tcPr>
          <w:p w:rsidRPr="00707007" w:rsidR="006D04BB" w:rsidP="007B6B6B" w:rsidRDefault="0F87A7E8" w14:paraId="207FFB99" w14:textId="4C67708B">
            <w:pPr>
              <w:jc w:val="both"/>
              <w:rPr>
                <w:rFonts w:eastAsia="Verdana" w:cs="Verdana"/>
                <w:lang w:bidi="en-GB"/>
              </w:rPr>
            </w:pPr>
            <w:r w:rsidRPr="3E5E8E2D">
              <w:rPr>
                <w:rFonts w:eastAsia="Verdana" w:cs="Verdana"/>
              </w:rPr>
              <w:t>Commonhold and Leasehold Reform Act 2002</w:t>
            </w:r>
          </w:p>
        </w:tc>
      </w:tr>
      <w:tr w:rsidRPr="00707007" w:rsidR="006D04BB" w:rsidTr="000C03FD" w14:paraId="125626C6" w14:textId="77777777">
        <w:tc>
          <w:tcPr>
            <w:cnfStyle w:val="001000000000" w:firstRow="0" w:lastRow="0" w:firstColumn="1" w:lastColumn="0" w:oddVBand="0" w:evenVBand="0" w:oddHBand="0" w:evenHBand="0" w:firstRowFirstColumn="0" w:firstRowLastColumn="0" w:lastRowFirstColumn="0" w:lastRowLastColumn="0"/>
            <w:tcW w:w="10450" w:type="dxa"/>
            <w:shd w:val="clear" w:color="auto" w:fill="FFFFFF" w:themeFill="background1"/>
          </w:tcPr>
          <w:p w:rsidRPr="00707007" w:rsidR="00923A80" w:rsidP="007B6B6B" w:rsidRDefault="0F87A7E8" w14:paraId="564AE593" w14:textId="4171430E">
            <w:pPr>
              <w:jc w:val="both"/>
              <w:rPr>
                <w:rFonts w:eastAsia="Verdana" w:cs="Verdana"/>
                <w:b w:val="0"/>
                <w:bCs w:val="0"/>
                <w:lang w:bidi="en-GB"/>
              </w:rPr>
            </w:pPr>
            <w:r w:rsidRPr="3E5E8E2D">
              <w:rPr>
                <w:rFonts w:eastAsia="Verdana" w:cs="Verdana"/>
              </w:rPr>
              <w:t>Equality Act 2010</w:t>
            </w:r>
          </w:p>
        </w:tc>
      </w:tr>
      <w:tr w:rsidRPr="00707007" w:rsidR="006D04BB" w:rsidTr="000C03FD" w14:paraId="5893DCD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shd w:val="clear" w:color="auto" w:fill="FFFFFF" w:themeFill="background1"/>
          </w:tcPr>
          <w:p w:rsidRPr="00707007" w:rsidR="006D04BB" w:rsidP="007B6B6B" w:rsidRDefault="0F87A7E8" w14:paraId="53114513" w14:textId="6721CEC6">
            <w:pPr>
              <w:jc w:val="both"/>
              <w:rPr>
                <w:rFonts w:eastAsia="Verdana" w:cs="Verdana"/>
                <w:lang w:bidi="en-GB"/>
              </w:rPr>
            </w:pPr>
            <w:r w:rsidRPr="3E5E8E2D">
              <w:rPr>
                <w:rFonts w:eastAsia="Verdana" w:cs="Verdana"/>
              </w:rPr>
              <w:t>General Data Protection Regulation</w:t>
            </w:r>
          </w:p>
        </w:tc>
      </w:tr>
      <w:tr w:rsidRPr="00707007" w:rsidR="006D04BB" w:rsidTr="000C03FD" w14:paraId="1073723E" w14:textId="77777777">
        <w:tc>
          <w:tcPr>
            <w:cnfStyle w:val="001000000000" w:firstRow="0" w:lastRow="0" w:firstColumn="1" w:lastColumn="0" w:oddVBand="0" w:evenVBand="0" w:oddHBand="0" w:evenHBand="0" w:firstRowFirstColumn="0" w:firstRowLastColumn="0" w:lastRowFirstColumn="0" w:lastRowLastColumn="0"/>
            <w:tcW w:w="10450" w:type="dxa"/>
            <w:shd w:val="clear" w:color="auto" w:fill="FFFFFF" w:themeFill="background1"/>
          </w:tcPr>
          <w:p w:rsidRPr="00707007" w:rsidR="006D04BB" w:rsidP="007B6B6B" w:rsidRDefault="0F87A7E8" w14:paraId="0843146E" w14:textId="103A3B48">
            <w:pPr>
              <w:jc w:val="both"/>
              <w:rPr>
                <w:rFonts w:eastAsia="Verdana" w:cs="Verdana"/>
                <w:lang w:bidi="en-GB"/>
              </w:rPr>
            </w:pPr>
            <w:r w:rsidRPr="3E5E8E2D">
              <w:rPr>
                <w:rFonts w:eastAsia="Verdana" w:cs="Verdana"/>
              </w:rPr>
              <w:t>Leasehold and Freehold Reform Act 2024</w:t>
            </w:r>
            <w:r w:rsidRPr="3E5E8E2D" w:rsidR="00E64C35">
              <w:rPr>
                <w:rFonts w:eastAsia="Verdana" w:cs="Verdana"/>
              </w:rPr>
              <w:t xml:space="preserve"> (when the relevant sections are in force)</w:t>
            </w:r>
          </w:p>
        </w:tc>
      </w:tr>
      <w:tr w:rsidRPr="00707007" w:rsidR="00B46B16" w:rsidTr="000C03FD" w14:paraId="5371594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shd w:val="clear" w:color="auto" w:fill="FFFFFF" w:themeFill="background1"/>
          </w:tcPr>
          <w:p w:rsidRPr="00707007" w:rsidR="00B46B16" w:rsidP="007B6B6B" w:rsidRDefault="0F87A7E8" w14:paraId="5FB8E68B" w14:textId="3AE21126">
            <w:pPr>
              <w:jc w:val="both"/>
              <w:rPr>
                <w:rFonts w:eastAsia="Verdana" w:cs="Verdana"/>
                <w:lang w:bidi="en-GB"/>
              </w:rPr>
            </w:pPr>
            <w:r w:rsidRPr="3E5E8E2D">
              <w:rPr>
                <w:rFonts w:eastAsia="Verdana" w:cs="Verdana"/>
              </w:rPr>
              <w:t>Building Safety Act 2022</w:t>
            </w:r>
          </w:p>
        </w:tc>
      </w:tr>
    </w:tbl>
    <w:p w:rsidRPr="00707007" w:rsidR="006B21CA" w:rsidP="007B6B6B" w:rsidRDefault="006B21CA" w14:paraId="4F96F4C4" w14:textId="77777777">
      <w:pPr>
        <w:ind w:left="792"/>
        <w:jc w:val="both"/>
        <w:rPr>
          <w:rFonts w:eastAsia="Verdana" w:cs="Verdana"/>
          <w:b/>
          <w:bCs/>
          <w:lang w:bidi="en-GB"/>
        </w:rPr>
      </w:pPr>
      <w:bookmarkStart w:name="_Toc41381246" w:id="12"/>
    </w:p>
    <w:p w:rsidR="006B21CA" w:rsidP="007B6B6B" w:rsidRDefault="006B21CA" w14:paraId="61643D6D" w14:textId="776A99B0">
      <w:pPr>
        <w:pStyle w:val="Heading2"/>
        <w:numPr>
          <w:ilvl w:val="1"/>
          <w:numId w:val="36"/>
        </w:numPr>
        <w:ind w:left="1134" w:hanging="1134"/>
        <w:jc w:val="both"/>
        <w:rPr>
          <w:rFonts w:eastAsia="Verdana" w:cs="Verdana"/>
          <w:lang w:bidi="en-GB"/>
        </w:rPr>
      </w:pPr>
      <w:bookmarkStart w:name="_Toc88569008" w:id="13"/>
      <w:r w:rsidRPr="3E5E8E2D">
        <w:rPr>
          <w:rFonts w:eastAsia="Verdana" w:cs="Verdana"/>
          <w:lang w:bidi="en-GB"/>
        </w:rPr>
        <w:t>Associated Regenda Homes / Group documents / guidance</w:t>
      </w:r>
      <w:bookmarkEnd w:id="12"/>
      <w:bookmarkEnd w:id="13"/>
      <w:r w:rsidRPr="3E5E8E2D">
        <w:rPr>
          <w:rFonts w:eastAsia="Verdana" w:cs="Verdana"/>
          <w:lang w:bidi="en-GB"/>
        </w:rPr>
        <w:t xml:space="preserve"> </w:t>
      </w:r>
    </w:p>
    <w:p w:rsidRPr="00707007" w:rsidR="00B46B16" w:rsidP="007B6B6B" w:rsidRDefault="00B46B16" w14:paraId="6BB20A2A" w14:textId="77777777">
      <w:pPr>
        <w:jc w:val="both"/>
        <w:rPr>
          <w:rFonts w:eastAsia="Verdana" w:cs="Verdana"/>
          <w:lang w:bidi="en-GB"/>
        </w:rPr>
      </w:pPr>
    </w:p>
    <w:tbl>
      <w:tblPr>
        <w:tblStyle w:val="ListTable4"/>
        <w:tblW w:w="0" w:type="auto"/>
        <w:tblLook w:val="04A0" w:firstRow="1" w:lastRow="0" w:firstColumn="1" w:lastColumn="0" w:noHBand="0" w:noVBand="1"/>
      </w:tblPr>
      <w:tblGrid>
        <w:gridCol w:w="10450"/>
      </w:tblGrid>
      <w:tr w:rsidRPr="00707007" w:rsidR="00B46B16" w:rsidTr="3E5E8E2D" w14:paraId="0D03C79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tcPr>
          <w:p w:rsidRPr="00707007" w:rsidR="00B46B16" w:rsidP="007B6B6B" w:rsidRDefault="00B46B16" w14:paraId="3DF8CE01" w14:textId="6FDF5552">
            <w:pPr>
              <w:jc w:val="both"/>
              <w:rPr>
                <w:rFonts w:eastAsia="Verdana" w:cs="Verdana"/>
                <w:b w:val="0"/>
                <w:bCs w:val="0"/>
                <w:lang w:bidi="en-GB"/>
              </w:rPr>
            </w:pPr>
            <w:bookmarkStart w:name="_Hlk88568704" w:id="14"/>
            <w:r w:rsidRPr="6E6DE770">
              <w:rPr>
                <w:rFonts w:eastAsia="Verdana" w:cs="Verdana"/>
                <w:color w:val="FFFFFF" w:themeColor="background1"/>
                <w:lang w:bidi="en-GB"/>
              </w:rPr>
              <w:t>Associated Regenda Homes / Group documents / guidance</w:t>
            </w:r>
          </w:p>
        </w:tc>
      </w:tr>
      <w:tr w:rsidRPr="00707007" w:rsidR="00B46B16" w:rsidTr="000C03FD" w14:paraId="3825770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shd w:val="clear" w:color="auto" w:fill="FFFFFF" w:themeFill="background1"/>
          </w:tcPr>
          <w:p w:rsidRPr="00707007" w:rsidR="00B46B16" w:rsidP="3E5E8E2D" w:rsidRDefault="5A84C984" w14:paraId="650CD3C7" w14:textId="2A097567">
            <w:pPr>
              <w:jc w:val="both"/>
              <w:rPr>
                <w:rFonts w:eastAsia="Verdana" w:cs="Verdana"/>
                <w:b w:val="0"/>
                <w:bCs w:val="0"/>
              </w:rPr>
            </w:pPr>
            <w:r w:rsidRPr="3E5E8E2D">
              <w:rPr>
                <w:rFonts w:eastAsia="Verdana" w:cs="Verdana"/>
                <w:b w:val="0"/>
                <w:bCs w:val="0"/>
              </w:rPr>
              <w:t>Majors Works P</w:t>
            </w:r>
            <w:r w:rsidRPr="3E5E8E2D" w:rsidR="529A934F">
              <w:rPr>
                <w:rFonts w:eastAsia="Verdana" w:cs="Verdana"/>
                <w:b w:val="0"/>
                <w:bCs w:val="0"/>
              </w:rPr>
              <w:t>olicy</w:t>
            </w:r>
          </w:p>
        </w:tc>
      </w:tr>
      <w:tr w:rsidRPr="00707007" w:rsidR="00B46B16" w:rsidTr="000C03FD" w14:paraId="7FA10E31" w14:textId="77777777">
        <w:tc>
          <w:tcPr>
            <w:cnfStyle w:val="001000000000" w:firstRow="0" w:lastRow="0" w:firstColumn="1" w:lastColumn="0" w:oddVBand="0" w:evenVBand="0" w:oddHBand="0" w:evenHBand="0" w:firstRowFirstColumn="0" w:firstRowLastColumn="0" w:lastRowFirstColumn="0" w:lastRowLastColumn="0"/>
            <w:tcW w:w="10450" w:type="dxa"/>
            <w:shd w:val="clear" w:color="auto" w:fill="FFFFFF" w:themeFill="background1"/>
          </w:tcPr>
          <w:p w:rsidRPr="00707007" w:rsidR="00B46B16" w:rsidP="007B6B6B" w:rsidRDefault="14928438" w14:paraId="1053F314" w14:textId="2EB3088A">
            <w:pPr>
              <w:jc w:val="both"/>
              <w:rPr>
                <w:rFonts w:eastAsia="Verdana" w:cs="Verdana"/>
                <w:b w:val="0"/>
                <w:bCs w:val="0"/>
                <w:szCs w:val="22"/>
              </w:rPr>
            </w:pPr>
            <w:r w:rsidRPr="6E6DE770">
              <w:rPr>
                <w:rFonts w:eastAsia="Verdana" w:cs="Verdana"/>
                <w:b w:val="0"/>
                <w:bCs w:val="0"/>
                <w:szCs w:val="22"/>
              </w:rPr>
              <w:t>Lifts &amp; Lifting Equipment Policy</w:t>
            </w:r>
          </w:p>
        </w:tc>
      </w:tr>
      <w:tr w:rsidRPr="00707007" w:rsidR="00B46B16" w:rsidTr="000C03FD" w14:paraId="0772D54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shd w:val="clear" w:color="auto" w:fill="FFFFFF" w:themeFill="background1"/>
          </w:tcPr>
          <w:p w:rsidRPr="00707007" w:rsidR="00B46B16" w:rsidP="007B6B6B" w:rsidRDefault="14928438" w14:paraId="60AA7C63" w14:textId="5C9EA18E">
            <w:pPr>
              <w:jc w:val="both"/>
              <w:rPr>
                <w:rFonts w:eastAsia="Verdana" w:cs="Verdana"/>
                <w:b w:val="0"/>
                <w:bCs w:val="0"/>
                <w:lang w:bidi="en-GB"/>
              </w:rPr>
            </w:pPr>
            <w:r w:rsidRPr="6E6DE770">
              <w:rPr>
                <w:rFonts w:eastAsia="Verdana" w:cs="Verdana"/>
                <w:b w:val="0"/>
                <w:bCs w:val="0"/>
                <w:lang w:bidi="en-GB"/>
              </w:rPr>
              <w:t>Procurement Policy</w:t>
            </w:r>
          </w:p>
        </w:tc>
      </w:tr>
      <w:tr w:rsidR="6E6DE770" w:rsidTr="000C03FD" w14:paraId="62E388D1" w14:textId="77777777">
        <w:trPr>
          <w:trHeight w:val="300"/>
        </w:trPr>
        <w:tc>
          <w:tcPr>
            <w:cnfStyle w:val="001000000000" w:firstRow="0" w:lastRow="0" w:firstColumn="1" w:lastColumn="0" w:oddVBand="0" w:evenVBand="0" w:oddHBand="0" w:evenHBand="0" w:firstRowFirstColumn="0" w:firstRowLastColumn="0" w:lastRowFirstColumn="0" w:lastRowLastColumn="0"/>
            <w:tcW w:w="10450" w:type="dxa"/>
            <w:shd w:val="clear" w:color="auto" w:fill="FFFFFF" w:themeFill="background1"/>
          </w:tcPr>
          <w:p w:rsidR="14928438" w:rsidP="007B6B6B" w:rsidRDefault="14928438" w14:paraId="124DEE26" w14:textId="77302BC3">
            <w:pPr>
              <w:jc w:val="both"/>
              <w:rPr>
                <w:rFonts w:eastAsia="Verdana" w:cs="Verdana"/>
                <w:b w:val="0"/>
                <w:bCs w:val="0"/>
                <w:lang w:bidi="en-GB"/>
              </w:rPr>
            </w:pPr>
            <w:r w:rsidRPr="6E6DE770">
              <w:rPr>
                <w:rFonts w:eastAsia="Verdana" w:cs="Verdana"/>
                <w:b w:val="0"/>
                <w:bCs w:val="0"/>
                <w:lang w:bidi="en-GB"/>
              </w:rPr>
              <w:t>Financial vulnerability Policy</w:t>
            </w:r>
          </w:p>
        </w:tc>
      </w:tr>
      <w:tr w:rsidR="3E5E8E2D" w:rsidTr="000C03FD" w14:paraId="5C362FE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50" w:type="dxa"/>
            <w:shd w:val="clear" w:color="auto" w:fill="FFFFFF" w:themeFill="background1"/>
          </w:tcPr>
          <w:p w:rsidR="086885FA" w:rsidP="3E5E8E2D" w:rsidRDefault="086885FA" w14:paraId="78988845" w14:textId="69DCFB3A">
            <w:pPr>
              <w:jc w:val="both"/>
              <w:rPr>
                <w:rFonts w:eastAsia="Verdana" w:cs="Verdana"/>
                <w:b w:val="0"/>
                <w:bCs w:val="0"/>
                <w:lang w:bidi="en-GB"/>
              </w:rPr>
            </w:pPr>
            <w:r w:rsidRPr="3E5E8E2D">
              <w:rPr>
                <w:rFonts w:eastAsia="Verdana" w:cs="Verdana"/>
                <w:b w:val="0"/>
                <w:bCs w:val="0"/>
                <w:lang w:bidi="en-GB"/>
              </w:rPr>
              <w:t>Repairs &amp; Maintenance Policy</w:t>
            </w:r>
          </w:p>
        </w:tc>
      </w:tr>
      <w:tr w:rsidR="3E5E8E2D" w:rsidTr="000C03FD" w14:paraId="5F7EFD96" w14:textId="77777777">
        <w:trPr>
          <w:trHeight w:val="300"/>
        </w:trPr>
        <w:tc>
          <w:tcPr>
            <w:cnfStyle w:val="001000000000" w:firstRow="0" w:lastRow="0" w:firstColumn="1" w:lastColumn="0" w:oddVBand="0" w:evenVBand="0" w:oddHBand="0" w:evenHBand="0" w:firstRowFirstColumn="0" w:firstRowLastColumn="0" w:lastRowFirstColumn="0" w:lastRowLastColumn="0"/>
            <w:tcW w:w="10450" w:type="dxa"/>
            <w:shd w:val="clear" w:color="auto" w:fill="FFFFFF" w:themeFill="background1"/>
          </w:tcPr>
          <w:p w:rsidR="086885FA" w:rsidP="3E5E8E2D" w:rsidRDefault="086885FA" w14:paraId="6F50D6D6" w14:textId="30B1C368">
            <w:pPr>
              <w:jc w:val="both"/>
              <w:rPr>
                <w:rFonts w:eastAsia="Verdana" w:cs="Verdana"/>
                <w:b w:val="0"/>
                <w:bCs w:val="0"/>
                <w:lang w:bidi="en-GB"/>
              </w:rPr>
            </w:pPr>
            <w:r w:rsidRPr="3E5E8E2D">
              <w:rPr>
                <w:rFonts w:eastAsia="Verdana" w:cs="Verdana"/>
                <w:b w:val="0"/>
                <w:bCs w:val="0"/>
                <w:lang w:bidi="en-GB"/>
              </w:rPr>
              <w:t>Service Charge Policy</w:t>
            </w:r>
          </w:p>
        </w:tc>
      </w:tr>
      <w:bookmarkEnd w:id="14"/>
    </w:tbl>
    <w:p w:rsidRPr="00707007" w:rsidR="00B46B16" w:rsidP="007B6B6B" w:rsidRDefault="00B46B16" w14:paraId="036F6590" w14:textId="77777777">
      <w:pPr>
        <w:jc w:val="both"/>
        <w:rPr>
          <w:rFonts w:eastAsia="Verdana" w:cs="Verdana"/>
          <w:b/>
          <w:bCs/>
          <w:lang w:bidi="en-GB"/>
        </w:rPr>
      </w:pPr>
    </w:p>
    <w:p w:rsidRPr="00707007" w:rsidR="006B21CA" w:rsidP="007B6B6B" w:rsidRDefault="00776069" w14:paraId="11ABA6BE" w14:textId="50B80F33">
      <w:pPr>
        <w:pStyle w:val="Heading1"/>
        <w:numPr>
          <w:ilvl w:val="0"/>
          <w:numId w:val="36"/>
        </w:numPr>
        <w:jc w:val="both"/>
        <w:rPr>
          <w:rFonts w:eastAsia="Verdana" w:cs="Verdana"/>
          <w:lang w:bidi="en-GB"/>
        </w:rPr>
      </w:pPr>
      <w:bookmarkStart w:name="_Toc41381247" w:id="15"/>
      <w:bookmarkStart w:name="_Toc88569009" w:id="16"/>
      <w:r w:rsidRPr="6E6DE770">
        <w:rPr>
          <w:rFonts w:eastAsia="Verdana" w:cs="Verdana"/>
          <w:lang w:bidi="en-GB"/>
        </w:rPr>
        <w:t xml:space="preserve"> </w:t>
      </w:r>
      <w:r w:rsidRPr="6E6DE770" w:rsidR="006B21CA">
        <w:rPr>
          <w:rFonts w:eastAsia="Verdana" w:cs="Verdana"/>
          <w:lang w:bidi="en-GB"/>
        </w:rPr>
        <w:t xml:space="preserve">Equality, </w:t>
      </w:r>
      <w:r w:rsidRPr="6E6DE770" w:rsidR="008D331F">
        <w:rPr>
          <w:rFonts w:eastAsia="Verdana" w:cs="Verdana"/>
          <w:lang w:bidi="en-GB"/>
        </w:rPr>
        <w:t>diversity,</w:t>
      </w:r>
      <w:r w:rsidRPr="6E6DE770" w:rsidR="006B21CA">
        <w:rPr>
          <w:rFonts w:eastAsia="Verdana" w:cs="Verdana"/>
          <w:lang w:bidi="en-GB"/>
        </w:rPr>
        <w:t xml:space="preserve"> and </w:t>
      </w:r>
      <w:bookmarkEnd w:id="15"/>
      <w:r w:rsidRPr="6E6DE770" w:rsidR="006D2C60">
        <w:rPr>
          <w:rFonts w:eastAsia="Verdana" w:cs="Verdana"/>
          <w:lang w:bidi="en-GB"/>
        </w:rPr>
        <w:t>inclusion</w:t>
      </w:r>
      <w:bookmarkEnd w:id="16"/>
      <w:r w:rsidRPr="6E6DE770" w:rsidR="006D2C60">
        <w:rPr>
          <w:rFonts w:eastAsia="Verdana" w:cs="Verdana"/>
          <w:lang w:bidi="en-GB"/>
        </w:rPr>
        <w:t xml:space="preserve"> </w:t>
      </w:r>
    </w:p>
    <w:p w:rsidRPr="00707007" w:rsidR="00D557C5" w:rsidP="000C03FD" w:rsidRDefault="007B6B6B" w14:paraId="63D2D5F9" w14:textId="4A2849B9">
      <w:pPr>
        <w:spacing w:before="240" w:after="240"/>
        <w:ind w:left="142"/>
        <w:jc w:val="both"/>
        <w:rPr>
          <w:rFonts w:eastAsia="Verdana" w:cs="Verdana"/>
        </w:rPr>
      </w:pPr>
      <w:r>
        <w:t>Redwing</w:t>
      </w:r>
      <w:r w:rsidRPr="3E5E8E2D" w:rsidR="65FE44AF">
        <w:rPr>
          <w:rFonts w:eastAsia="Verdana" w:cs="Verdana"/>
        </w:rPr>
        <w:t xml:space="preserve"> is committed to ensuring that no person or group of persons will be treated less</w:t>
      </w:r>
      <w:r w:rsidR="000C03FD">
        <w:rPr>
          <w:rFonts w:eastAsia="Verdana" w:cs="Verdana"/>
        </w:rPr>
        <w:t xml:space="preserve"> </w:t>
      </w:r>
      <w:r w:rsidRPr="3E5E8E2D" w:rsidR="65FE44AF">
        <w:rPr>
          <w:rFonts w:eastAsia="Verdana" w:cs="Verdana"/>
        </w:rPr>
        <w:t>favourably than another person or group of persons and will carry out our duty with positive regard for the following protected characteristics: age, disability, gender reassignment, marriage and civil partnerships, pregnancy and maternity, race, religion, sex, sexual orientation.</w:t>
      </w:r>
    </w:p>
    <w:p w:rsidRPr="00707007" w:rsidR="00D557C5" w:rsidP="000C03FD" w:rsidRDefault="65FE44AF" w14:paraId="76D68C8D" w14:textId="25418A25">
      <w:pPr>
        <w:spacing w:before="240" w:after="240"/>
        <w:ind w:left="142"/>
        <w:jc w:val="both"/>
        <w:rPr>
          <w:rFonts w:eastAsia="Verdana" w:cs="Verdana"/>
        </w:rPr>
      </w:pPr>
      <w:r w:rsidRPr="3E5E8E2D">
        <w:rPr>
          <w:rFonts w:eastAsia="Verdana" w:cs="Verdana"/>
        </w:rPr>
        <w:t>R</w:t>
      </w:r>
      <w:r w:rsidRPr="3E5E8E2D" w:rsidR="007B6B6B">
        <w:rPr>
          <w:rFonts w:eastAsia="Verdana" w:cs="Verdana"/>
        </w:rPr>
        <w:t>edwing</w:t>
      </w:r>
      <w:r w:rsidRPr="3E5E8E2D">
        <w:rPr>
          <w:rFonts w:eastAsia="Verdana" w:cs="Verdana"/>
        </w:rPr>
        <w:t xml:space="preserve"> is committed to ensuring that everyone has the same access and output of the</w:t>
      </w:r>
      <w:r w:rsidR="000C03FD">
        <w:rPr>
          <w:rFonts w:eastAsia="Verdana" w:cs="Verdana"/>
        </w:rPr>
        <w:t xml:space="preserve"> </w:t>
      </w:r>
      <w:r w:rsidRPr="3E5E8E2D" w:rsidR="007B6B6B">
        <w:rPr>
          <w:rFonts w:eastAsia="Verdana" w:cs="Verdana"/>
        </w:rPr>
        <w:t>ser</w:t>
      </w:r>
      <w:r w:rsidRPr="3E5E8E2D">
        <w:rPr>
          <w:rFonts w:eastAsia="Verdana" w:cs="Verdana"/>
        </w:rPr>
        <w:t>vices under this policy. Re</w:t>
      </w:r>
      <w:r w:rsidRPr="3E5E8E2D" w:rsidR="007B6B6B">
        <w:rPr>
          <w:rFonts w:eastAsia="Verdana" w:cs="Verdana"/>
        </w:rPr>
        <w:t>dwing</w:t>
      </w:r>
      <w:r w:rsidRPr="3E5E8E2D">
        <w:rPr>
          <w:rFonts w:eastAsia="Verdana" w:cs="Verdana"/>
        </w:rPr>
        <w:t xml:space="preserve"> will commit to using RWIN’s to identify any needs that may need to be considered when conducting a repair and altering services as needed. For example, sending information in a different format, or not recharging a repair.</w:t>
      </w:r>
    </w:p>
    <w:p w:rsidRPr="00707007" w:rsidR="00D557C5" w:rsidP="000C03FD" w:rsidRDefault="65FE44AF" w14:paraId="6B1ECAD1" w14:textId="67A41DBF">
      <w:pPr>
        <w:spacing w:before="240" w:after="240"/>
        <w:ind w:left="142"/>
        <w:jc w:val="both"/>
        <w:rPr>
          <w:rFonts w:eastAsia="Verdana" w:cs="Verdana"/>
          <w:szCs w:val="22"/>
        </w:rPr>
      </w:pPr>
      <w:r w:rsidRPr="66135721">
        <w:rPr>
          <w:rFonts w:eastAsia="Verdana" w:cs="Verdana"/>
          <w:szCs w:val="22"/>
        </w:rPr>
        <w:t>Re</w:t>
      </w:r>
      <w:r w:rsidR="007B6B6B">
        <w:rPr>
          <w:rFonts w:eastAsia="Verdana" w:cs="Verdana"/>
          <w:szCs w:val="22"/>
        </w:rPr>
        <w:t>dwing</w:t>
      </w:r>
      <w:r w:rsidRPr="66135721">
        <w:rPr>
          <w:rFonts w:eastAsia="Verdana" w:cs="Verdana"/>
          <w:szCs w:val="22"/>
        </w:rPr>
        <w:t xml:space="preserve"> acknowledges that some customers may require a service which is individually tailored to suit their</w:t>
      </w:r>
      <w:r w:rsidR="007B6B6B">
        <w:rPr>
          <w:rFonts w:eastAsia="Verdana" w:cs="Verdana"/>
          <w:szCs w:val="22"/>
        </w:rPr>
        <w:t xml:space="preserve"> </w:t>
      </w:r>
      <w:r w:rsidRPr="66135721">
        <w:rPr>
          <w:rFonts w:eastAsia="Verdana" w:cs="Verdana"/>
          <w:szCs w:val="22"/>
        </w:rPr>
        <w:t>needs, due to recognised disability or other factor of vulnerability. Regenda reserve the right to adapt this</w:t>
      </w:r>
      <w:r w:rsidR="007B6B6B">
        <w:rPr>
          <w:rFonts w:eastAsia="Verdana" w:cs="Verdana"/>
          <w:szCs w:val="22"/>
        </w:rPr>
        <w:t xml:space="preserve"> </w:t>
      </w:r>
      <w:r w:rsidRPr="66135721">
        <w:rPr>
          <w:rFonts w:eastAsia="Verdana" w:cs="Verdana"/>
          <w:szCs w:val="22"/>
        </w:rPr>
        <w:t>policy to suit individuals in these cases</w:t>
      </w:r>
    </w:p>
    <w:p w:rsidRPr="0073777A" w:rsidR="006B21CA" w:rsidP="6E6DE770" w:rsidRDefault="00776069" w14:paraId="09398617" w14:textId="402BFFD4">
      <w:pPr>
        <w:pStyle w:val="Heading1"/>
        <w:numPr>
          <w:ilvl w:val="0"/>
          <w:numId w:val="36"/>
        </w:numPr>
        <w:rPr>
          <w:rFonts w:eastAsia="Verdana" w:cs="Verdana"/>
          <w:lang w:bidi="en-GB"/>
        </w:rPr>
      </w:pPr>
      <w:bookmarkStart w:name="_Toc88569010" w:id="17"/>
      <w:r w:rsidRPr="391FBE40">
        <w:rPr>
          <w:rFonts w:eastAsia="Verdana" w:cs="Verdana"/>
          <w:lang w:bidi="en-GB"/>
        </w:rPr>
        <w:t xml:space="preserve"> </w:t>
      </w:r>
      <w:r w:rsidRPr="391FBE40" w:rsidR="006B21CA">
        <w:rPr>
          <w:rFonts w:eastAsia="Verdana" w:cs="Verdana"/>
          <w:lang w:bidi="en-GB"/>
        </w:rPr>
        <w:t>Data Protection</w:t>
      </w:r>
      <w:bookmarkEnd w:id="17"/>
      <w:r w:rsidRPr="391FBE40" w:rsidR="006B21CA">
        <w:rPr>
          <w:rFonts w:eastAsia="Verdana" w:cs="Verdana"/>
          <w:lang w:bidi="en-GB"/>
        </w:rPr>
        <w:t xml:space="preserve"> </w:t>
      </w:r>
    </w:p>
    <w:p w:rsidRPr="0073777A" w:rsidR="000C7484" w:rsidP="000C03FD" w:rsidRDefault="000C7484" w14:paraId="371E78F4" w14:textId="6FCB95BC">
      <w:pPr>
        <w:pStyle w:val="NormalWeb"/>
        <w:jc w:val="both"/>
        <w:rPr>
          <w:rFonts w:ascii="Verdana" w:hAnsi="Verdana"/>
          <w:color w:val="000000"/>
          <w:sz w:val="22"/>
          <w:szCs w:val="22"/>
        </w:rPr>
      </w:pPr>
      <w:r w:rsidRPr="0073777A">
        <w:rPr>
          <w:rFonts w:ascii="Verdana" w:hAnsi="Verdana"/>
          <w:color w:val="000000"/>
          <w:sz w:val="22"/>
          <w:szCs w:val="22"/>
        </w:rPr>
        <w:t>All information provided under this Policy will be retained in accordance with the UK General</w:t>
      </w:r>
      <w:r w:rsidR="000C03FD">
        <w:rPr>
          <w:rFonts w:ascii="Verdana" w:hAnsi="Verdana"/>
          <w:color w:val="000000"/>
          <w:sz w:val="22"/>
          <w:szCs w:val="22"/>
        </w:rPr>
        <w:t xml:space="preserve"> </w:t>
      </w:r>
      <w:r w:rsidRPr="0073777A">
        <w:rPr>
          <w:rFonts w:ascii="Verdana" w:hAnsi="Verdana"/>
          <w:color w:val="000000"/>
          <w:sz w:val="22"/>
          <w:szCs w:val="22"/>
        </w:rPr>
        <w:t>Data Protection Act (UK GDPR) and Data Protection Act 2018.</w:t>
      </w:r>
    </w:p>
    <w:p w:rsidRPr="0073777A" w:rsidR="000C7484" w:rsidP="000C03FD" w:rsidRDefault="000C7484" w14:paraId="2712F6A5" w14:textId="37107F7C">
      <w:pPr>
        <w:pStyle w:val="NormalWeb"/>
        <w:jc w:val="both"/>
        <w:rPr>
          <w:rFonts w:ascii="Verdana" w:hAnsi="Verdana"/>
          <w:color w:val="000000"/>
          <w:sz w:val="22"/>
          <w:szCs w:val="22"/>
        </w:rPr>
      </w:pPr>
      <w:r w:rsidRPr="0073777A">
        <w:rPr>
          <w:rFonts w:ascii="Verdana" w:hAnsi="Verdana"/>
          <w:color w:val="000000"/>
          <w:sz w:val="22"/>
          <w:szCs w:val="22"/>
        </w:rPr>
        <w:lastRenderedPageBreak/>
        <w:t>When an allegation is made under this Policy, Redwing are obliged to investigate, which requires processing of personal data and the lawful basis for this data processing is:</w:t>
      </w:r>
    </w:p>
    <w:p w:rsidRPr="0073777A" w:rsidR="000C7484" w:rsidP="000C03FD" w:rsidRDefault="000C7484" w14:paraId="1D8CCECB" w14:textId="596CF1FF">
      <w:pPr>
        <w:pStyle w:val="NormalWeb"/>
        <w:numPr>
          <w:ilvl w:val="2"/>
          <w:numId w:val="47"/>
        </w:numPr>
        <w:ind w:left="1276" w:hanging="283"/>
        <w:jc w:val="both"/>
        <w:rPr>
          <w:rFonts w:ascii="Verdana" w:hAnsi="Verdana"/>
          <w:color w:val="000000"/>
          <w:sz w:val="22"/>
          <w:szCs w:val="22"/>
        </w:rPr>
      </w:pPr>
      <w:r w:rsidRPr="0073777A">
        <w:rPr>
          <w:rFonts w:ascii="Verdana" w:hAnsi="Verdana"/>
          <w:color w:val="000000"/>
          <w:sz w:val="22"/>
          <w:szCs w:val="22"/>
        </w:rPr>
        <w:t>Legal obligation: the processing is necessary to comply with the law</w:t>
      </w:r>
    </w:p>
    <w:p w:rsidRPr="0073777A" w:rsidR="000C7484" w:rsidP="000C03FD" w:rsidRDefault="000C7484" w14:paraId="3DE5F3B9" w14:textId="7053A72B">
      <w:pPr>
        <w:pStyle w:val="NormalWeb"/>
        <w:numPr>
          <w:ilvl w:val="2"/>
          <w:numId w:val="47"/>
        </w:numPr>
        <w:ind w:left="1276" w:hanging="283"/>
        <w:jc w:val="both"/>
        <w:rPr>
          <w:rFonts w:ascii="Verdana" w:hAnsi="Verdana"/>
          <w:color w:val="000000"/>
          <w:sz w:val="22"/>
          <w:szCs w:val="22"/>
        </w:rPr>
      </w:pPr>
      <w:r w:rsidRPr="391FBE40">
        <w:rPr>
          <w:rFonts w:ascii="Verdana" w:hAnsi="Verdana"/>
          <w:color w:val="000000" w:themeColor="text1"/>
          <w:sz w:val="22"/>
          <w:szCs w:val="22"/>
        </w:rPr>
        <w:t>Legitimate interest: the processing is necessary to pursue a legitimate interest</w:t>
      </w:r>
    </w:p>
    <w:p w:rsidR="391FBE40" w:rsidP="391FBE40" w:rsidRDefault="391FBE40" w14:paraId="6796D738" w14:textId="797E272F">
      <w:pPr>
        <w:pStyle w:val="NormalWeb"/>
        <w:ind w:left="2160"/>
        <w:jc w:val="both"/>
        <w:rPr>
          <w:rFonts w:ascii="Verdana" w:hAnsi="Verdana"/>
          <w:color w:val="000000" w:themeColor="text1"/>
          <w:sz w:val="22"/>
          <w:szCs w:val="22"/>
        </w:rPr>
      </w:pPr>
    </w:p>
    <w:p w:rsidRPr="0073777A" w:rsidR="000C7484" w:rsidP="000C03FD" w:rsidRDefault="000C7484" w14:paraId="39C3DFF7" w14:textId="1DF5BC9F">
      <w:pPr>
        <w:pStyle w:val="NormalWeb"/>
        <w:jc w:val="both"/>
        <w:rPr>
          <w:rFonts w:ascii="Verdana" w:hAnsi="Verdana"/>
          <w:color w:val="000000"/>
          <w:sz w:val="22"/>
          <w:szCs w:val="22"/>
        </w:rPr>
      </w:pPr>
      <w:r w:rsidRPr="0073777A">
        <w:rPr>
          <w:rFonts w:ascii="Verdana" w:hAnsi="Verdana"/>
          <w:color w:val="000000"/>
          <w:sz w:val="22"/>
          <w:szCs w:val="22"/>
        </w:rPr>
        <w:t>If an individual makes an allegation under this Policy, their anonymity and confidentiality will be upheld, and all individuals have the right:</w:t>
      </w:r>
    </w:p>
    <w:p w:rsidRPr="0073777A" w:rsidR="000C7484" w:rsidP="000C03FD" w:rsidRDefault="000C7484" w14:paraId="2A73E5D1" w14:textId="0627CB47">
      <w:pPr>
        <w:pStyle w:val="NormalWeb"/>
        <w:numPr>
          <w:ilvl w:val="0"/>
          <w:numId w:val="48"/>
        </w:numPr>
        <w:ind w:left="709" w:hanging="283"/>
        <w:jc w:val="both"/>
        <w:rPr>
          <w:rFonts w:ascii="Verdana" w:hAnsi="Verdana"/>
          <w:color w:val="000000"/>
          <w:sz w:val="22"/>
          <w:szCs w:val="22"/>
        </w:rPr>
      </w:pPr>
      <w:r w:rsidRPr="0073777A">
        <w:rPr>
          <w:rFonts w:ascii="Verdana" w:hAnsi="Verdana"/>
          <w:color w:val="000000"/>
          <w:sz w:val="22"/>
          <w:szCs w:val="22"/>
        </w:rPr>
        <w:t>to be forgotten and request that data is anonymised or destroyed</w:t>
      </w:r>
    </w:p>
    <w:p w:rsidRPr="000C03FD" w:rsidR="391FBE40" w:rsidP="000C03FD" w:rsidRDefault="000C7484" w14:paraId="3EF1D98C" w14:textId="29660526">
      <w:pPr>
        <w:pStyle w:val="NormalWeb"/>
        <w:numPr>
          <w:ilvl w:val="1"/>
          <w:numId w:val="47"/>
        </w:numPr>
        <w:jc w:val="both"/>
        <w:rPr>
          <w:rFonts w:ascii="Verdana" w:hAnsi="Verdana"/>
          <w:color w:val="000000" w:themeColor="text1"/>
          <w:sz w:val="22"/>
          <w:szCs w:val="22"/>
        </w:rPr>
      </w:pPr>
      <w:r w:rsidRPr="000C03FD">
        <w:rPr>
          <w:rFonts w:ascii="Verdana" w:hAnsi="Verdana"/>
          <w:color w:val="000000" w:themeColor="text1"/>
          <w:sz w:val="22"/>
          <w:szCs w:val="22"/>
        </w:rPr>
        <w:t>to access a copy of their data</w:t>
      </w:r>
    </w:p>
    <w:p w:rsidRPr="00707007" w:rsidR="00BC229C" w:rsidP="000C03FD" w:rsidRDefault="000C7484" w14:paraId="0E0831FC" w14:textId="3E41D644">
      <w:pPr>
        <w:pStyle w:val="NormalWeb"/>
        <w:rPr>
          <w:rFonts w:eastAsia="Verdana" w:cs="Verdana"/>
          <w:lang w:bidi="en-GB"/>
        </w:rPr>
      </w:pPr>
      <w:r w:rsidRPr="0073777A">
        <w:rPr>
          <w:rFonts w:ascii="Verdana" w:hAnsi="Verdana"/>
          <w:color w:val="000000"/>
          <w:sz w:val="22"/>
          <w:szCs w:val="22"/>
        </w:rPr>
        <w:t>Personal data processed under this Policy will be deleted within two months of completion of the investigation. However, it should be noted that some serious investigations may take years to complete or may result in legal proceedings being initiated.</w:t>
      </w:r>
    </w:p>
    <w:p w:rsidR="006B21CA" w:rsidP="6E6DE770" w:rsidRDefault="00776069" w14:paraId="5CE1B8DE" w14:textId="73023BDC">
      <w:pPr>
        <w:pStyle w:val="Heading1"/>
        <w:numPr>
          <w:ilvl w:val="0"/>
          <w:numId w:val="36"/>
        </w:numPr>
        <w:rPr>
          <w:rFonts w:eastAsia="Verdana" w:cs="Verdana"/>
          <w:lang w:bidi="en-GB"/>
        </w:rPr>
      </w:pPr>
      <w:bookmarkStart w:name="_Toc41381248" w:id="18"/>
      <w:bookmarkStart w:name="_Toc88569011" w:id="19"/>
      <w:r w:rsidRPr="6E6DE770">
        <w:rPr>
          <w:rFonts w:eastAsia="Verdana" w:cs="Verdana"/>
          <w:lang w:bidi="en-GB"/>
        </w:rPr>
        <w:t xml:space="preserve"> </w:t>
      </w:r>
      <w:r w:rsidRPr="6E6DE770" w:rsidR="006B21CA">
        <w:rPr>
          <w:rFonts w:eastAsia="Verdana" w:cs="Verdana"/>
          <w:lang w:bidi="en-GB"/>
        </w:rPr>
        <w:t>Monitoring and reporting</w:t>
      </w:r>
      <w:bookmarkEnd w:id="18"/>
      <w:bookmarkEnd w:id="19"/>
    </w:p>
    <w:p w:rsidR="004F7A4B" w:rsidP="004F7A4B" w:rsidRDefault="004F7A4B" w14:paraId="72810D40" w14:textId="77777777">
      <w:pPr>
        <w:rPr>
          <w:lang w:bidi="en-GB"/>
        </w:rPr>
      </w:pPr>
    </w:p>
    <w:p w:rsidRPr="004F7A4B" w:rsidR="004F7A4B" w:rsidP="000C03FD" w:rsidRDefault="004F7A4B" w14:paraId="2A6A8957" w14:textId="43121AFD">
      <w:pPr>
        <w:rPr>
          <w:lang w:bidi="en-GB"/>
        </w:rPr>
      </w:pPr>
      <w:r w:rsidRPr="004F7A4B">
        <w:rPr>
          <w:color w:val="000000"/>
          <w:szCs w:val="22"/>
        </w:rPr>
        <w:t>Re</w:t>
      </w:r>
      <w:r>
        <w:rPr>
          <w:color w:val="000000"/>
          <w:szCs w:val="22"/>
        </w:rPr>
        <w:t>dwing</w:t>
      </w:r>
      <w:r w:rsidRPr="004F7A4B">
        <w:rPr>
          <w:color w:val="000000"/>
          <w:szCs w:val="22"/>
        </w:rPr>
        <w:t xml:space="preserve"> is committed to ensuring quality within their </w:t>
      </w:r>
      <w:r w:rsidR="00745452">
        <w:rPr>
          <w:color w:val="000000"/>
          <w:szCs w:val="22"/>
        </w:rPr>
        <w:t xml:space="preserve">asset management process and the standard of work provided. </w:t>
      </w:r>
      <w:r w:rsidRPr="004F7A4B">
        <w:rPr>
          <w:color w:val="000000"/>
          <w:szCs w:val="22"/>
        </w:rPr>
        <w:t>Re</w:t>
      </w:r>
      <w:r w:rsidR="00745452">
        <w:rPr>
          <w:color w:val="000000"/>
          <w:szCs w:val="22"/>
        </w:rPr>
        <w:t>dwing</w:t>
      </w:r>
      <w:r w:rsidRPr="004F7A4B">
        <w:rPr>
          <w:color w:val="000000"/>
          <w:szCs w:val="22"/>
        </w:rPr>
        <w:t xml:space="preserve"> will </w:t>
      </w:r>
      <w:r w:rsidR="00FB09B3">
        <w:rPr>
          <w:color w:val="000000"/>
          <w:szCs w:val="22"/>
        </w:rPr>
        <w:t>p</w:t>
      </w:r>
      <w:r w:rsidRPr="004F7A4B">
        <w:rPr>
          <w:color w:val="000000"/>
          <w:szCs w:val="22"/>
        </w:rPr>
        <w:t xml:space="preserve">ut in place quality measures to ensure processes are followed and inspect a proportion of </w:t>
      </w:r>
      <w:r w:rsidR="00FB09B3">
        <w:rPr>
          <w:color w:val="000000"/>
          <w:szCs w:val="22"/>
        </w:rPr>
        <w:t>works undertaken.</w:t>
      </w:r>
    </w:p>
    <w:p w:rsidRPr="00707007" w:rsidR="0022741E" w:rsidP="6E6DE770" w:rsidRDefault="0022741E" w14:paraId="069E2667" w14:textId="77777777">
      <w:pPr>
        <w:rPr>
          <w:rFonts w:eastAsia="Verdana" w:cs="Verdana"/>
          <w:lang w:bidi="en-GB"/>
        </w:rPr>
      </w:pPr>
    </w:p>
    <w:tbl>
      <w:tblPr>
        <w:tblW w:w="1033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239"/>
        <w:gridCol w:w="8093"/>
      </w:tblGrid>
      <w:tr w:rsidRPr="00D70882" w:rsidR="00D70882" w:rsidTr="00D70882" w14:paraId="75576CE4" w14:textId="77777777">
        <w:trPr>
          <w:trHeight w:val="300"/>
        </w:trPr>
        <w:tc>
          <w:tcPr>
            <w:tcW w:w="2239" w:type="dxa"/>
            <w:tcBorders>
              <w:top w:val="single" w:color="auto" w:sz="6" w:space="0"/>
              <w:left w:val="single" w:color="auto" w:sz="6" w:space="0"/>
              <w:bottom w:val="single" w:color="auto" w:sz="6" w:space="0"/>
              <w:right w:val="single" w:color="auto" w:sz="6" w:space="0"/>
            </w:tcBorders>
            <w:shd w:val="clear" w:color="auto" w:fill="000000" w:themeFill="text1"/>
            <w:hideMark/>
          </w:tcPr>
          <w:p w:rsidRPr="00D70882" w:rsidR="00D70882" w:rsidP="00D70882" w:rsidRDefault="00D70882" w14:paraId="617E3EF9" w14:textId="77777777">
            <w:pPr>
              <w:textAlignment w:val="baseline"/>
              <w:rPr>
                <w:rFonts w:ascii="Segoe UI" w:hAnsi="Segoe UI" w:eastAsia="Times New Roman" w:cs="Segoe UI"/>
                <w:b/>
                <w:bCs/>
                <w:color w:val="FFFFFF" w:themeColor="background1"/>
                <w:sz w:val="18"/>
                <w:szCs w:val="18"/>
                <w:lang w:eastAsia="en-GB"/>
              </w:rPr>
            </w:pPr>
            <w:bookmarkStart w:name="_Toc41381249" w:id="20"/>
            <w:bookmarkStart w:name="_Toc88569012" w:id="21"/>
            <w:r w:rsidRPr="00D70882">
              <w:rPr>
                <w:rFonts w:eastAsia="Times New Roman" w:cs="Segoe UI"/>
                <w:b/>
                <w:bCs/>
                <w:color w:val="FFFFFF" w:themeColor="background1"/>
                <w:szCs w:val="22"/>
                <w:lang w:eastAsia="en-GB"/>
              </w:rPr>
              <w:t>Reference </w:t>
            </w:r>
          </w:p>
        </w:tc>
        <w:tc>
          <w:tcPr>
            <w:tcW w:w="8093" w:type="dxa"/>
            <w:tcBorders>
              <w:top w:val="single" w:color="auto" w:sz="6" w:space="0"/>
              <w:left w:val="single" w:color="auto" w:sz="6" w:space="0"/>
              <w:bottom w:val="single" w:color="auto" w:sz="6" w:space="0"/>
              <w:right w:val="single" w:color="auto" w:sz="6" w:space="0"/>
            </w:tcBorders>
            <w:shd w:val="clear" w:color="auto" w:fill="000000" w:themeFill="text1"/>
            <w:hideMark/>
          </w:tcPr>
          <w:p w:rsidRPr="00D70882" w:rsidR="00D70882" w:rsidP="00D70882" w:rsidRDefault="00D70882" w14:paraId="4342D0F7" w14:textId="77777777">
            <w:pPr>
              <w:textAlignment w:val="baseline"/>
              <w:rPr>
                <w:rFonts w:ascii="Segoe UI" w:hAnsi="Segoe UI" w:eastAsia="Times New Roman" w:cs="Segoe UI"/>
                <w:b/>
                <w:bCs/>
                <w:color w:val="FFFFFF" w:themeColor="background1"/>
                <w:sz w:val="18"/>
                <w:szCs w:val="18"/>
                <w:lang w:eastAsia="en-GB"/>
              </w:rPr>
            </w:pPr>
            <w:r w:rsidRPr="00D70882">
              <w:rPr>
                <w:rFonts w:eastAsia="Times New Roman" w:cs="Segoe UI"/>
                <w:b/>
                <w:bCs/>
                <w:color w:val="FFFFFF" w:themeColor="background1"/>
                <w:szCs w:val="22"/>
                <w:lang w:eastAsia="en-GB"/>
              </w:rPr>
              <w:t>Name </w:t>
            </w:r>
          </w:p>
        </w:tc>
      </w:tr>
      <w:tr w:rsidRPr="00D70882" w:rsidR="00D70882" w:rsidTr="00606A2A" w14:paraId="78267D7F" w14:textId="77777777">
        <w:trPr>
          <w:trHeight w:val="300"/>
        </w:trPr>
        <w:tc>
          <w:tcPr>
            <w:tcW w:w="2239" w:type="dxa"/>
            <w:tcBorders>
              <w:top w:val="single" w:color="auto" w:sz="6" w:space="0"/>
              <w:left w:val="single" w:color="auto" w:sz="6" w:space="0"/>
              <w:bottom w:val="single" w:color="auto" w:sz="6" w:space="0"/>
              <w:right w:val="single" w:color="auto" w:sz="6" w:space="0"/>
            </w:tcBorders>
            <w:hideMark/>
          </w:tcPr>
          <w:p w:rsidRPr="00D70882" w:rsidR="00D70882" w:rsidP="00D70882" w:rsidRDefault="00D70882" w14:paraId="35F96CE0" w14:textId="77777777">
            <w:pPr>
              <w:textAlignment w:val="baseline"/>
              <w:rPr>
                <w:rFonts w:eastAsia="Times New Roman" w:cs="Segoe UI"/>
                <w:b/>
                <w:bCs/>
                <w:color w:val="000000"/>
                <w:sz w:val="18"/>
                <w:szCs w:val="18"/>
                <w:lang w:eastAsia="en-GB"/>
              </w:rPr>
            </w:pPr>
            <w:r w:rsidRPr="00D70882">
              <w:rPr>
                <w:rFonts w:eastAsia="Times New Roman" w:cs="Segoe UI"/>
                <w:b/>
                <w:bCs/>
                <w:color w:val="000000"/>
                <w:szCs w:val="22"/>
                <w:lang w:eastAsia="en-GB"/>
              </w:rPr>
              <w:t>Internal Audits </w:t>
            </w:r>
          </w:p>
        </w:tc>
        <w:tc>
          <w:tcPr>
            <w:tcW w:w="8093" w:type="dxa"/>
            <w:tcBorders>
              <w:top w:val="single" w:color="auto" w:sz="6" w:space="0"/>
              <w:left w:val="single" w:color="auto" w:sz="6" w:space="0"/>
              <w:bottom w:val="single" w:color="auto" w:sz="6" w:space="0"/>
              <w:right w:val="single" w:color="auto" w:sz="6" w:space="0"/>
            </w:tcBorders>
            <w:hideMark/>
          </w:tcPr>
          <w:p w:rsidRPr="00D70882" w:rsidR="00D70882" w:rsidP="00D70882" w:rsidRDefault="00D70882" w14:paraId="3CD2A591" w14:textId="77777777">
            <w:pPr>
              <w:textAlignment w:val="baseline"/>
              <w:rPr>
                <w:rFonts w:eastAsia="Times New Roman" w:cs="Segoe UI"/>
                <w:color w:val="000000"/>
                <w:sz w:val="18"/>
                <w:szCs w:val="18"/>
                <w:lang w:eastAsia="en-GB"/>
              </w:rPr>
            </w:pPr>
            <w:r w:rsidRPr="00D70882">
              <w:rPr>
                <w:rFonts w:eastAsia="Times New Roman" w:cs="Segoe UI"/>
                <w:color w:val="auto"/>
                <w:szCs w:val="22"/>
                <w:shd w:val="clear" w:color="auto" w:fill="FFFFFF"/>
                <w:lang w:eastAsia="en-GB"/>
              </w:rPr>
              <w:t>Internal audits will be carried out as per our performance management</w:t>
            </w:r>
          </w:p>
        </w:tc>
      </w:tr>
      <w:tr w:rsidRPr="00D70882" w:rsidR="00D70882" w:rsidTr="00606A2A" w14:paraId="2226516E" w14:textId="77777777">
        <w:trPr>
          <w:trHeight w:val="300"/>
        </w:trPr>
        <w:tc>
          <w:tcPr>
            <w:tcW w:w="2239" w:type="dxa"/>
            <w:tcBorders>
              <w:top w:val="single" w:color="auto" w:sz="6" w:space="0"/>
              <w:left w:val="single" w:color="auto" w:sz="6" w:space="0"/>
              <w:bottom w:val="single" w:color="auto" w:sz="6" w:space="0"/>
              <w:right w:val="single" w:color="auto" w:sz="6" w:space="0"/>
            </w:tcBorders>
            <w:hideMark/>
          </w:tcPr>
          <w:p w:rsidRPr="00D70882" w:rsidR="00D70882" w:rsidP="00D70882" w:rsidRDefault="00D70882" w14:paraId="77A95876" w14:textId="77777777">
            <w:pPr>
              <w:textAlignment w:val="baseline"/>
              <w:rPr>
                <w:rFonts w:eastAsia="Times New Roman" w:cs="Segoe UI"/>
                <w:b/>
                <w:bCs/>
                <w:color w:val="000000"/>
                <w:sz w:val="18"/>
                <w:szCs w:val="18"/>
                <w:lang w:eastAsia="en-GB"/>
              </w:rPr>
            </w:pPr>
            <w:r w:rsidRPr="00D70882">
              <w:rPr>
                <w:rFonts w:eastAsia="Times New Roman" w:cs="Segoe UI"/>
                <w:b/>
                <w:bCs/>
                <w:color w:val="000000"/>
                <w:szCs w:val="22"/>
                <w:lang w:eastAsia="en-GB"/>
              </w:rPr>
              <w:t>Complaints Reports </w:t>
            </w:r>
          </w:p>
        </w:tc>
        <w:tc>
          <w:tcPr>
            <w:tcW w:w="8093" w:type="dxa"/>
            <w:tcBorders>
              <w:top w:val="single" w:color="auto" w:sz="6" w:space="0"/>
              <w:left w:val="single" w:color="auto" w:sz="6" w:space="0"/>
              <w:bottom w:val="single" w:color="auto" w:sz="6" w:space="0"/>
              <w:right w:val="single" w:color="auto" w:sz="6" w:space="0"/>
            </w:tcBorders>
            <w:hideMark/>
          </w:tcPr>
          <w:p w:rsidRPr="00D70882" w:rsidR="00D70882" w:rsidP="00D70882" w:rsidRDefault="00D70882" w14:paraId="36B3934A" w14:textId="77777777">
            <w:pPr>
              <w:textAlignment w:val="baseline"/>
              <w:rPr>
                <w:rFonts w:eastAsia="Times New Roman" w:cs="Segoe UI"/>
                <w:color w:val="000000"/>
                <w:sz w:val="18"/>
                <w:szCs w:val="18"/>
                <w:lang w:eastAsia="en-GB"/>
              </w:rPr>
            </w:pPr>
            <w:r w:rsidRPr="00D70882">
              <w:rPr>
                <w:rFonts w:eastAsia="Times New Roman" w:cs="Segoe UI"/>
                <w:color w:val="000000"/>
                <w:szCs w:val="22"/>
                <w:lang w:eastAsia="en-GB"/>
              </w:rPr>
              <w:t>We monitor complaints information when associated with tenancy management, ensuring responses are in target and lessons are learned from any service failures </w:t>
            </w:r>
          </w:p>
        </w:tc>
      </w:tr>
      <w:tr w:rsidRPr="00D70882" w:rsidR="00D70882" w:rsidTr="00606A2A" w14:paraId="59E6292E" w14:textId="77777777">
        <w:trPr>
          <w:trHeight w:val="300"/>
        </w:trPr>
        <w:tc>
          <w:tcPr>
            <w:tcW w:w="2239" w:type="dxa"/>
            <w:tcBorders>
              <w:top w:val="single" w:color="auto" w:sz="6" w:space="0"/>
              <w:left w:val="single" w:color="auto" w:sz="6" w:space="0"/>
              <w:bottom w:val="single" w:color="auto" w:sz="6" w:space="0"/>
              <w:right w:val="single" w:color="auto" w:sz="6" w:space="0"/>
            </w:tcBorders>
            <w:hideMark/>
          </w:tcPr>
          <w:p w:rsidRPr="00D70882" w:rsidR="00D70882" w:rsidP="00D70882" w:rsidRDefault="00D70882" w14:paraId="330EB0BE" w14:textId="77777777">
            <w:pPr>
              <w:textAlignment w:val="baseline"/>
              <w:rPr>
                <w:rFonts w:eastAsia="Times New Roman" w:cs="Segoe UI"/>
                <w:b/>
                <w:bCs/>
                <w:color w:val="000000"/>
                <w:sz w:val="18"/>
                <w:szCs w:val="18"/>
                <w:lang w:eastAsia="en-GB"/>
              </w:rPr>
            </w:pPr>
            <w:r w:rsidRPr="00D70882">
              <w:rPr>
                <w:rFonts w:eastAsia="Times New Roman" w:cs="Segoe UI"/>
                <w:b/>
                <w:bCs/>
                <w:color w:val="000000"/>
                <w:szCs w:val="22"/>
                <w:lang w:eastAsia="en-GB"/>
              </w:rPr>
              <w:t>KPIs </w:t>
            </w:r>
          </w:p>
        </w:tc>
        <w:tc>
          <w:tcPr>
            <w:tcW w:w="8093" w:type="dxa"/>
            <w:tcBorders>
              <w:top w:val="single" w:color="auto" w:sz="6" w:space="0"/>
              <w:left w:val="single" w:color="auto" w:sz="6" w:space="0"/>
              <w:bottom w:val="single" w:color="auto" w:sz="6" w:space="0"/>
              <w:right w:val="single" w:color="auto" w:sz="6" w:space="0"/>
            </w:tcBorders>
            <w:hideMark/>
          </w:tcPr>
          <w:p w:rsidRPr="00D70882" w:rsidR="00D70882" w:rsidP="00D70882" w:rsidRDefault="00D70882" w14:paraId="559F4350" w14:textId="74B426FC">
            <w:pPr>
              <w:textAlignment w:val="baseline"/>
              <w:rPr>
                <w:rFonts w:eastAsia="Times New Roman" w:cs="Segoe UI"/>
                <w:color w:val="000000"/>
                <w:sz w:val="18"/>
                <w:szCs w:val="18"/>
                <w:lang w:eastAsia="en-GB"/>
              </w:rPr>
            </w:pPr>
            <w:r w:rsidRPr="00D70882">
              <w:rPr>
                <w:rFonts w:eastAsia="Times New Roman" w:cs="Segoe UI"/>
                <w:color w:val="000000"/>
                <w:szCs w:val="22"/>
                <w:lang w:eastAsia="en-GB"/>
              </w:rPr>
              <w:t>W</w:t>
            </w:r>
            <w:r w:rsidRPr="00D70882">
              <w:rPr>
                <w:rFonts w:eastAsia="Times New Roman"/>
                <w:color w:val="000000"/>
                <w:szCs w:val="22"/>
                <w:lang w:eastAsia="en-GB"/>
              </w:rPr>
              <w:t xml:space="preserve">e monitor operational performance against KPIs focused on </w:t>
            </w:r>
            <w:r w:rsidR="00FB09B3">
              <w:rPr>
                <w:rFonts w:eastAsia="Times New Roman"/>
                <w:color w:val="000000"/>
                <w:szCs w:val="22"/>
                <w:lang w:eastAsia="en-GB"/>
              </w:rPr>
              <w:t>repairs standards and customer satisfaction</w:t>
            </w:r>
            <w:r w:rsidRPr="00D70882">
              <w:rPr>
                <w:rFonts w:eastAsia="Times New Roman"/>
                <w:color w:val="000000"/>
                <w:szCs w:val="22"/>
                <w:lang w:eastAsia="en-GB"/>
              </w:rPr>
              <w:t>.</w:t>
            </w:r>
            <w:r w:rsidRPr="00D70882">
              <w:rPr>
                <w:rFonts w:eastAsia="Times New Roman" w:cs="Segoe UI"/>
                <w:color w:val="000000"/>
                <w:szCs w:val="22"/>
                <w:lang w:eastAsia="en-GB"/>
              </w:rPr>
              <w:t> </w:t>
            </w:r>
          </w:p>
        </w:tc>
      </w:tr>
    </w:tbl>
    <w:p w:rsidRPr="00707007" w:rsidR="006B21CA" w:rsidP="6E6DE770" w:rsidRDefault="00776069" w14:paraId="2962DA00" w14:textId="37BF4A94">
      <w:pPr>
        <w:pStyle w:val="Heading1"/>
        <w:numPr>
          <w:ilvl w:val="0"/>
          <w:numId w:val="36"/>
        </w:numPr>
        <w:rPr>
          <w:rFonts w:eastAsia="Verdana" w:cs="Verdana"/>
          <w:lang w:bidi="en-GB"/>
        </w:rPr>
      </w:pPr>
      <w:r w:rsidRPr="6E6DE770">
        <w:rPr>
          <w:rFonts w:eastAsia="Verdana" w:cs="Verdana"/>
          <w:lang w:bidi="en-GB"/>
        </w:rPr>
        <w:t xml:space="preserve"> </w:t>
      </w:r>
      <w:r w:rsidRPr="6E6DE770" w:rsidR="006B21CA">
        <w:rPr>
          <w:rFonts w:eastAsia="Verdana" w:cs="Verdana"/>
          <w:lang w:bidi="en-GB"/>
        </w:rPr>
        <w:t>Risk Management</w:t>
      </w:r>
      <w:bookmarkEnd w:id="20"/>
      <w:bookmarkEnd w:id="21"/>
    </w:p>
    <w:p w:rsidRPr="00707007" w:rsidR="006B21CA" w:rsidP="6E6DE770" w:rsidRDefault="006B21CA" w14:paraId="5D578ADD" w14:textId="60EA2067">
      <w:pPr>
        <w:rPr>
          <w:rFonts w:eastAsia="Verdana" w:cs="Verdana"/>
        </w:rPr>
      </w:pPr>
    </w:p>
    <w:tbl>
      <w:tblPr>
        <w:tblStyle w:val="ListTable4"/>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53"/>
        <w:gridCol w:w="4479"/>
        <w:gridCol w:w="4118"/>
      </w:tblGrid>
      <w:tr w:rsidRPr="00707007" w:rsidR="0039508E" w:rsidTr="00683DFF" w14:paraId="1B23938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3" w:type="dxa"/>
          </w:tcPr>
          <w:p w:rsidRPr="00707007" w:rsidR="0039508E" w:rsidP="00683DFF" w:rsidRDefault="0039508E" w14:paraId="7ECC78F0" w14:textId="77777777">
            <w:pPr>
              <w:rPr>
                <w:color w:val="FFFFFF" w:themeColor="background1"/>
                <w:lang w:bidi="en-GB"/>
              </w:rPr>
            </w:pPr>
            <w:r w:rsidRPr="00707007">
              <w:rPr>
                <w:color w:val="FFFFFF" w:themeColor="background1"/>
                <w:lang w:bidi="en-GB"/>
              </w:rPr>
              <w:t>Reference</w:t>
            </w:r>
          </w:p>
        </w:tc>
        <w:tc>
          <w:tcPr>
            <w:tcW w:w="4479" w:type="dxa"/>
          </w:tcPr>
          <w:p w:rsidRPr="00707007" w:rsidR="0039508E" w:rsidP="00683DFF" w:rsidRDefault="0039508E" w14:paraId="05488248" w14:textId="77777777">
            <w:pPr>
              <w:cnfStyle w:val="100000000000" w:firstRow="1" w:lastRow="0" w:firstColumn="0" w:lastColumn="0" w:oddVBand="0" w:evenVBand="0" w:oddHBand="0" w:evenHBand="0" w:firstRowFirstColumn="0" w:firstRowLastColumn="0" w:lastRowFirstColumn="0" w:lastRowLastColumn="0"/>
              <w:rPr>
                <w:color w:val="FFFFFF" w:themeColor="background1"/>
                <w:lang w:bidi="en-GB"/>
              </w:rPr>
            </w:pPr>
            <w:r w:rsidRPr="00707007">
              <w:rPr>
                <w:color w:val="FFFFFF" w:themeColor="background1"/>
                <w:lang w:bidi="en-GB"/>
              </w:rPr>
              <w:t>Name</w:t>
            </w:r>
          </w:p>
        </w:tc>
        <w:tc>
          <w:tcPr>
            <w:tcW w:w="4118" w:type="dxa"/>
          </w:tcPr>
          <w:p w:rsidRPr="00707007" w:rsidR="0039508E" w:rsidP="00683DFF" w:rsidRDefault="0039508E" w14:paraId="49BAB7A2" w14:textId="77777777">
            <w:pPr>
              <w:cnfStyle w:val="100000000000" w:firstRow="1" w:lastRow="0" w:firstColumn="0" w:lastColumn="0" w:oddVBand="0" w:evenVBand="0" w:oddHBand="0" w:evenHBand="0" w:firstRowFirstColumn="0" w:firstRowLastColumn="0" w:lastRowFirstColumn="0" w:lastRowLastColumn="0"/>
              <w:rPr>
                <w:color w:val="FFFFFF" w:themeColor="background1"/>
                <w:lang w:bidi="en-GB"/>
              </w:rPr>
            </w:pPr>
            <w:r>
              <w:rPr>
                <w:color w:val="FFFFFF" w:themeColor="background1"/>
                <w:lang w:bidi="en-GB"/>
              </w:rPr>
              <w:t>Internal controls</w:t>
            </w:r>
          </w:p>
        </w:tc>
      </w:tr>
      <w:tr w:rsidRPr="00707007" w:rsidR="0039508E" w:rsidTr="00683DFF" w14:paraId="302EEDF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3" w:type="dxa"/>
            <w:shd w:val="clear" w:color="auto" w:fill="auto"/>
          </w:tcPr>
          <w:p w:rsidRPr="00707007" w:rsidR="0039508E" w:rsidP="00683DFF" w:rsidRDefault="0039508E" w14:paraId="3EDF5512" w14:textId="77777777">
            <w:pPr>
              <w:rPr>
                <w:lang w:bidi="en-GB"/>
              </w:rPr>
            </w:pPr>
            <w:r>
              <w:rPr>
                <w:lang w:bidi="en-GB"/>
              </w:rPr>
              <w:t>RW OR01</w:t>
            </w:r>
          </w:p>
        </w:tc>
        <w:tc>
          <w:tcPr>
            <w:tcW w:w="4479" w:type="dxa"/>
            <w:shd w:val="clear" w:color="auto" w:fill="auto"/>
          </w:tcPr>
          <w:p w:rsidRPr="00707007" w:rsidR="0039508E" w:rsidP="00683DFF" w:rsidRDefault="0039508E" w14:paraId="18CF61C4" w14:textId="77777777">
            <w:pPr>
              <w:cnfStyle w:val="000000100000" w:firstRow="0" w:lastRow="0" w:firstColumn="0" w:lastColumn="0" w:oddVBand="0" w:evenVBand="0" w:oddHBand="1" w:evenHBand="0" w:firstRowFirstColumn="0" w:firstRowLastColumn="0" w:lastRowFirstColumn="0" w:lastRowLastColumn="0"/>
              <w:rPr>
                <w:lang w:bidi="en-GB"/>
              </w:rPr>
            </w:pPr>
            <w:r>
              <w:rPr>
                <w:lang w:bidi="en-GB"/>
              </w:rPr>
              <w:t>Failure to comply with regulation and legislation</w:t>
            </w:r>
          </w:p>
        </w:tc>
        <w:tc>
          <w:tcPr>
            <w:tcW w:w="4118" w:type="dxa"/>
            <w:shd w:val="clear" w:color="auto" w:fill="auto"/>
          </w:tcPr>
          <w:p w:rsidRPr="00707007" w:rsidR="0039508E" w:rsidP="00683DFF" w:rsidRDefault="0039508E" w14:paraId="66E667F4" w14:textId="77777777">
            <w:pPr>
              <w:cnfStyle w:val="000000100000" w:firstRow="0" w:lastRow="0" w:firstColumn="0" w:lastColumn="0" w:oddVBand="0" w:evenVBand="0" w:oddHBand="1" w:evenHBand="0" w:firstRowFirstColumn="0" w:firstRowLastColumn="0" w:lastRowFirstColumn="0" w:lastRowLastColumn="0"/>
              <w:rPr>
                <w:lang w:bidi="en-GB"/>
              </w:rPr>
            </w:pPr>
            <w:r>
              <w:rPr>
                <w:lang w:bidi="en-GB"/>
              </w:rPr>
              <w:t>KPI reporting to RMT, Internal Audit</w:t>
            </w:r>
          </w:p>
        </w:tc>
      </w:tr>
      <w:tr w:rsidRPr="00707007" w:rsidR="0039508E" w:rsidTr="00683DFF" w14:paraId="3AC82EC7" w14:textId="77777777">
        <w:tc>
          <w:tcPr>
            <w:cnfStyle w:val="001000000000" w:firstRow="0" w:lastRow="0" w:firstColumn="1" w:lastColumn="0" w:oddVBand="0" w:evenVBand="0" w:oddHBand="0" w:evenHBand="0" w:firstRowFirstColumn="0" w:firstRowLastColumn="0" w:lastRowFirstColumn="0" w:lastRowLastColumn="0"/>
            <w:tcW w:w="1853" w:type="dxa"/>
          </w:tcPr>
          <w:p w:rsidRPr="00707007" w:rsidR="0039508E" w:rsidP="00683DFF" w:rsidRDefault="0039508E" w14:paraId="136C9712" w14:textId="77777777">
            <w:pPr>
              <w:rPr>
                <w:lang w:bidi="en-GB"/>
              </w:rPr>
            </w:pPr>
            <w:r>
              <w:rPr>
                <w:lang w:bidi="en-GB"/>
              </w:rPr>
              <w:t>RW OR5</w:t>
            </w:r>
          </w:p>
        </w:tc>
        <w:tc>
          <w:tcPr>
            <w:tcW w:w="4479" w:type="dxa"/>
          </w:tcPr>
          <w:p w:rsidRPr="00707007" w:rsidR="0039508E" w:rsidP="00683DFF" w:rsidRDefault="0039508E" w14:paraId="47EC3BB2" w14:textId="77777777">
            <w:pPr>
              <w:cnfStyle w:val="000000000000" w:firstRow="0" w:lastRow="0" w:firstColumn="0" w:lastColumn="0" w:oddVBand="0" w:evenVBand="0" w:oddHBand="0" w:evenHBand="0" w:firstRowFirstColumn="0" w:firstRowLastColumn="0" w:lastRowFirstColumn="0" w:lastRowLastColumn="0"/>
              <w:rPr>
                <w:lang w:bidi="en-GB"/>
              </w:rPr>
            </w:pPr>
            <w:r>
              <w:rPr>
                <w:lang w:bidi="en-GB"/>
              </w:rPr>
              <w:t>Failure to maintain a credible brand</w:t>
            </w:r>
          </w:p>
        </w:tc>
        <w:tc>
          <w:tcPr>
            <w:tcW w:w="4118" w:type="dxa"/>
          </w:tcPr>
          <w:p w:rsidRPr="00707007" w:rsidR="0039508E" w:rsidP="00683DFF" w:rsidRDefault="0039508E" w14:paraId="4CBAF14F" w14:textId="77777777">
            <w:pPr>
              <w:cnfStyle w:val="000000000000" w:firstRow="0" w:lastRow="0" w:firstColumn="0" w:lastColumn="0" w:oddVBand="0" w:evenVBand="0" w:oddHBand="0" w:evenHBand="0" w:firstRowFirstColumn="0" w:firstRowLastColumn="0" w:lastRowFirstColumn="0" w:lastRowLastColumn="0"/>
              <w:rPr>
                <w:lang w:bidi="en-GB"/>
              </w:rPr>
            </w:pPr>
            <w:r>
              <w:rPr>
                <w:lang w:bidi="en-GB"/>
              </w:rPr>
              <w:t>Internal meetings, policy framework</w:t>
            </w:r>
          </w:p>
        </w:tc>
      </w:tr>
      <w:tr w:rsidRPr="00707007" w:rsidR="0039508E" w:rsidTr="00683DFF" w14:paraId="7B0B56A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3" w:type="dxa"/>
            <w:shd w:val="clear" w:color="auto" w:fill="auto"/>
          </w:tcPr>
          <w:p w:rsidR="0039508E" w:rsidP="00683DFF" w:rsidRDefault="0039508E" w14:paraId="2CB76249" w14:textId="77777777">
            <w:pPr>
              <w:rPr>
                <w:lang w:bidi="en-GB"/>
              </w:rPr>
            </w:pPr>
            <w:r>
              <w:rPr>
                <w:lang w:bidi="en-GB"/>
              </w:rPr>
              <w:t>RW OR4</w:t>
            </w:r>
          </w:p>
        </w:tc>
        <w:tc>
          <w:tcPr>
            <w:tcW w:w="4479" w:type="dxa"/>
            <w:shd w:val="clear" w:color="auto" w:fill="auto"/>
          </w:tcPr>
          <w:p w:rsidR="0039508E" w:rsidP="00683DFF" w:rsidRDefault="0039508E" w14:paraId="124243C5" w14:textId="77777777">
            <w:pPr>
              <w:cnfStyle w:val="000000100000" w:firstRow="0" w:lastRow="0" w:firstColumn="0" w:lastColumn="0" w:oddVBand="0" w:evenVBand="0" w:oddHBand="1" w:evenHBand="0" w:firstRowFirstColumn="0" w:firstRowLastColumn="0" w:lastRowFirstColumn="0" w:lastRowLastColumn="0"/>
              <w:rPr>
                <w:lang w:bidi="en-GB"/>
              </w:rPr>
            </w:pPr>
            <w:r>
              <w:rPr>
                <w:lang w:bidi="en-GB"/>
              </w:rPr>
              <w:t>Failure to manage customer complaints effectively</w:t>
            </w:r>
          </w:p>
        </w:tc>
        <w:tc>
          <w:tcPr>
            <w:tcW w:w="4118" w:type="dxa"/>
            <w:shd w:val="clear" w:color="auto" w:fill="auto"/>
          </w:tcPr>
          <w:p w:rsidR="0039508E" w:rsidP="00683DFF" w:rsidRDefault="0039508E" w14:paraId="132E875B" w14:textId="77777777">
            <w:pPr>
              <w:cnfStyle w:val="000000100000" w:firstRow="0" w:lastRow="0" w:firstColumn="0" w:lastColumn="0" w:oddVBand="0" w:evenVBand="0" w:oddHBand="1" w:evenHBand="0" w:firstRowFirstColumn="0" w:firstRowLastColumn="0" w:lastRowFirstColumn="0" w:lastRowLastColumn="0"/>
              <w:rPr>
                <w:lang w:bidi="en-GB"/>
              </w:rPr>
            </w:pPr>
            <w:r>
              <w:rPr>
                <w:lang w:bidi="en-GB"/>
              </w:rPr>
              <w:t>KPI reporting, peer review, policy framework</w:t>
            </w:r>
          </w:p>
        </w:tc>
      </w:tr>
    </w:tbl>
    <w:p w:rsidR="006D2C60" w:rsidP="6E6DE770" w:rsidRDefault="006D2C60" w14:paraId="10E9F686" w14:textId="501800E3">
      <w:pPr>
        <w:rPr>
          <w:rFonts w:eastAsia="Verdana" w:cs="Verdana"/>
        </w:rPr>
      </w:pPr>
    </w:p>
    <w:p w:rsidR="002103E5" w:rsidP="6E6DE770" w:rsidRDefault="002103E5" w14:paraId="0A3BCFE6" w14:textId="01D0D75E">
      <w:pPr>
        <w:pStyle w:val="Heading1"/>
        <w:numPr>
          <w:ilvl w:val="0"/>
          <w:numId w:val="36"/>
        </w:numPr>
        <w:rPr>
          <w:rFonts w:eastAsia="Verdana" w:cs="Verdana"/>
          <w:lang w:bidi="en-GB"/>
        </w:rPr>
      </w:pPr>
      <w:r w:rsidRPr="6E6DE770">
        <w:rPr>
          <w:rFonts w:eastAsia="Verdana" w:cs="Verdana"/>
          <w:lang w:bidi="en-GB"/>
        </w:rPr>
        <w:t>Amendment log</w:t>
      </w:r>
    </w:p>
    <w:p w:rsidR="002103E5" w:rsidP="6E6DE770" w:rsidRDefault="002103E5" w14:paraId="43E2D749" w14:textId="7069F6D1">
      <w:pPr>
        <w:rPr>
          <w:rFonts w:eastAsia="Verdana" w:cs="Verdana"/>
          <w:lang w:bidi="en-GB"/>
        </w:rPr>
      </w:pPr>
    </w:p>
    <w:tbl>
      <w:tblPr>
        <w:tblStyle w:val="TableGrid"/>
        <w:tblW w:w="0" w:type="auto"/>
        <w:tblLook w:val="04A0" w:firstRow="1" w:lastRow="0" w:firstColumn="1" w:lastColumn="0" w:noHBand="0" w:noVBand="1"/>
      </w:tblPr>
      <w:tblGrid>
        <w:gridCol w:w="3539"/>
        <w:gridCol w:w="2303"/>
        <w:gridCol w:w="2304"/>
        <w:gridCol w:w="2304"/>
      </w:tblGrid>
      <w:tr w:rsidRPr="002103E5" w:rsidR="002103E5" w:rsidTr="6E6DE770" w14:paraId="099966DB" w14:textId="77777777">
        <w:tc>
          <w:tcPr>
            <w:tcW w:w="3539" w:type="dxa"/>
            <w:shd w:val="clear" w:color="auto" w:fill="000000" w:themeFill="text1"/>
          </w:tcPr>
          <w:p w:rsidRPr="00BC229C" w:rsidR="002103E5" w:rsidP="6E6DE770" w:rsidRDefault="002103E5" w14:paraId="4C7D2531" w14:textId="7FBF2BA0">
            <w:pPr>
              <w:rPr>
                <w:rFonts w:eastAsia="Verdana" w:cs="Verdana"/>
                <w:b/>
                <w:bCs/>
                <w:color w:val="FFFFFF" w:themeColor="background1"/>
                <w:lang w:bidi="en-GB"/>
              </w:rPr>
            </w:pPr>
            <w:r w:rsidRPr="6E6DE770">
              <w:rPr>
                <w:rFonts w:eastAsia="Verdana" w:cs="Verdana"/>
                <w:b/>
                <w:bCs/>
                <w:color w:val="FFFFFF" w:themeColor="background1"/>
                <w:lang w:bidi="en-GB"/>
              </w:rPr>
              <w:t>Change</w:t>
            </w:r>
          </w:p>
        </w:tc>
        <w:tc>
          <w:tcPr>
            <w:tcW w:w="2303" w:type="dxa"/>
            <w:shd w:val="clear" w:color="auto" w:fill="000000" w:themeFill="text1"/>
          </w:tcPr>
          <w:p w:rsidRPr="00BC229C" w:rsidR="002103E5" w:rsidP="6E6DE770" w:rsidRDefault="002103E5" w14:paraId="7808A1E3" w14:textId="0745C637">
            <w:pPr>
              <w:rPr>
                <w:rFonts w:eastAsia="Verdana" w:cs="Verdana"/>
                <w:b/>
                <w:bCs/>
                <w:color w:val="FFFFFF" w:themeColor="background1"/>
                <w:lang w:bidi="en-GB"/>
              </w:rPr>
            </w:pPr>
            <w:r w:rsidRPr="6E6DE770">
              <w:rPr>
                <w:rFonts w:eastAsia="Verdana" w:cs="Verdana"/>
                <w:b/>
                <w:bCs/>
                <w:color w:val="FFFFFF" w:themeColor="background1"/>
                <w:lang w:bidi="en-GB"/>
              </w:rPr>
              <w:t>Made by</w:t>
            </w:r>
          </w:p>
        </w:tc>
        <w:tc>
          <w:tcPr>
            <w:tcW w:w="2304" w:type="dxa"/>
            <w:shd w:val="clear" w:color="auto" w:fill="000000" w:themeFill="text1"/>
          </w:tcPr>
          <w:p w:rsidRPr="00BC229C" w:rsidR="002103E5" w:rsidP="6E6DE770" w:rsidRDefault="002103E5" w14:paraId="7E37808A" w14:textId="1A1924DD">
            <w:pPr>
              <w:rPr>
                <w:rFonts w:eastAsia="Verdana" w:cs="Verdana"/>
                <w:b/>
                <w:bCs/>
                <w:color w:val="FFFFFF" w:themeColor="background1"/>
                <w:lang w:bidi="en-GB"/>
              </w:rPr>
            </w:pPr>
            <w:r w:rsidRPr="6E6DE770">
              <w:rPr>
                <w:rFonts w:eastAsia="Verdana" w:cs="Verdana"/>
                <w:b/>
                <w:bCs/>
                <w:color w:val="FFFFFF" w:themeColor="background1"/>
                <w:lang w:bidi="en-GB"/>
              </w:rPr>
              <w:t>Authorised by</w:t>
            </w:r>
          </w:p>
        </w:tc>
        <w:tc>
          <w:tcPr>
            <w:tcW w:w="2304" w:type="dxa"/>
            <w:shd w:val="clear" w:color="auto" w:fill="000000" w:themeFill="text1"/>
          </w:tcPr>
          <w:p w:rsidRPr="00BC229C" w:rsidR="002103E5" w:rsidP="6E6DE770" w:rsidRDefault="002103E5" w14:paraId="324B30BC" w14:textId="33E532A4">
            <w:pPr>
              <w:rPr>
                <w:rFonts w:eastAsia="Verdana" w:cs="Verdana"/>
                <w:b/>
                <w:bCs/>
                <w:color w:val="FFFFFF" w:themeColor="background1"/>
                <w:lang w:bidi="en-GB"/>
              </w:rPr>
            </w:pPr>
            <w:r w:rsidRPr="6E6DE770">
              <w:rPr>
                <w:rFonts w:eastAsia="Verdana" w:cs="Verdana"/>
                <w:b/>
                <w:bCs/>
                <w:color w:val="FFFFFF" w:themeColor="background1"/>
                <w:lang w:bidi="en-GB"/>
              </w:rPr>
              <w:t>Effective date</w:t>
            </w:r>
          </w:p>
        </w:tc>
      </w:tr>
      <w:tr w:rsidRPr="002103E5" w:rsidR="002103E5" w:rsidTr="6E6DE770" w14:paraId="707CB67E" w14:textId="77777777">
        <w:tc>
          <w:tcPr>
            <w:tcW w:w="3539" w:type="dxa"/>
          </w:tcPr>
          <w:p w:rsidRPr="002103E5" w:rsidR="002103E5" w:rsidP="6E6DE770" w:rsidRDefault="002103E5" w14:paraId="5D0B88C5" w14:textId="280EEB74">
            <w:pPr>
              <w:rPr>
                <w:rFonts w:eastAsia="Verdana" w:cs="Verdana"/>
                <w:lang w:bidi="en-GB"/>
              </w:rPr>
            </w:pPr>
          </w:p>
        </w:tc>
        <w:tc>
          <w:tcPr>
            <w:tcW w:w="2303" w:type="dxa"/>
          </w:tcPr>
          <w:p w:rsidRPr="002103E5" w:rsidR="002103E5" w:rsidP="6E6DE770" w:rsidRDefault="002103E5" w14:paraId="1E8AC3A9" w14:textId="77777777">
            <w:pPr>
              <w:rPr>
                <w:rFonts w:eastAsia="Verdana" w:cs="Verdana"/>
                <w:lang w:bidi="en-GB"/>
              </w:rPr>
            </w:pPr>
          </w:p>
        </w:tc>
        <w:tc>
          <w:tcPr>
            <w:tcW w:w="2304" w:type="dxa"/>
          </w:tcPr>
          <w:p w:rsidRPr="002103E5" w:rsidR="002103E5" w:rsidP="6E6DE770" w:rsidRDefault="002103E5" w14:paraId="4C80F8EB" w14:textId="77777777">
            <w:pPr>
              <w:rPr>
                <w:rFonts w:eastAsia="Verdana" w:cs="Verdana"/>
                <w:lang w:bidi="en-GB"/>
              </w:rPr>
            </w:pPr>
          </w:p>
        </w:tc>
        <w:tc>
          <w:tcPr>
            <w:tcW w:w="2304" w:type="dxa"/>
          </w:tcPr>
          <w:p w:rsidRPr="002103E5" w:rsidR="002103E5" w:rsidP="6E6DE770" w:rsidRDefault="002103E5" w14:paraId="0ADA3700" w14:textId="77777777">
            <w:pPr>
              <w:rPr>
                <w:rFonts w:eastAsia="Verdana" w:cs="Verdana"/>
                <w:lang w:bidi="en-GB"/>
              </w:rPr>
            </w:pPr>
          </w:p>
        </w:tc>
      </w:tr>
      <w:tr w:rsidRPr="002103E5" w:rsidR="002103E5" w:rsidTr="6E6DE770" w14:paraId="5627C508" w14:textId="77777777">
        <w:tc>
          <w:tcPr>
            <w:tcW w:w="3539" w:type="dxa"/>
          </w:tcPr>
          <w:p w:rsidRPr="002103E5" w:rsidR="002103E5" w:rsidP="6E6DE770" w:rsidRDefault="002103E5" w14:paraId="7B71E227" w14:textId="3CEE4B09">
            <w:pPr>
              <w:rPr>
                <w:rFonts w:eastAsia="Verdana" w:cs="Verdana"/>
                <w:lang w:bidi="en-GB"/>
              </w:rPr>
            </w:pPr>
          </w:p>
        </w:tc>
        <w:tc>
          <w:tcPr>
            <w:tcW w:w="2303" w:type="dxa"/>
          </w:tcPr>
          <w:p w:rsidRPr="002103E5" w:rsidR="002103E5" w:rsidP="6E6DE770" w:rsidRDefault="002103E5" w14:paraId="5AFDDF0A" w14:textId="77777777">
            <w:pPr>
              <w:rPr>
                <w:rFonts w:eastAsia="Verdana" w:cs="Verdana"/>
                <w:lang w:bidi="en-GB"/>
              </w:rPr>
            </w:pPr>
          </w:p>
        </w:tc>
        <w:tc>
          <w:tcPr>
            <w:tcW w:w="2304" w:type="dxa"/>
          </w:tcPr>
          <w:p w:rsidRPr="002103E5" w:rsidR="002103E5" w:rsidP="6E6DE770" w:rsidRDefault="002103E5" w14:paraId="586259A0" w14:textId="77777777">
            <w:pPr>
              <w:rPr>
                <w:rFonts w:eastAsia="Verdana" w:cs="Verdana"/>
                <w:lang w:bidi="en-GB"/>
              </w:rPr>
            </w:pPr>
          </w:p>
        </w:tc>
        <w:tc>
          <w:tcPr>
            <w:tcW w:w="2304" w:type="dxa"/>
          </w:tcPr>
          <w:p w:rsidRPr="002103E5" w:rsidR="002103E5" w:rsidP="6E6DE770" w:rsidRDefault="002103E5" w14:paraId="5015248B" w14:textId="77777777">
            <w:pPr>
              <w:rPr>
                <w:rFonts w:eastAsia="Verdana" w:cs="Verdana"/>
                <w:lang w:bidi="en-GB"/>
              </w:rPr>
            </w:pPr>
          </w:p>
        </w:tc>
      </w:tr>
      <w:tr w:rsidRPr="002103E5" w:rsidR="002103E5" w:rsidTr="6E6DE770" w14:paraId="6DB76F40" w14:textId="77777777">
        <w:tc>
          <w:tcPr>
            <w:tcW w:w="3539" w:type="dxa"/>
          </w:tcPr>
          <w:p w:rsidRPr="002103E5" w:rsidR="002103E5" w:rsidP="6E6DE770" w:rsidRDefault="002103E5" w14:paraId="4EBEAA42" w14:textId="77777777">
            <w:pPr>
              <w:rPr>
                <w:rFonts w:eastAsia="Verdana" w:cs="Verdana"/>
                <w:lang w:bidi="en-GB"/>
              </w:rPr>
            </w:pPr>
          </w:p>
        </w:tc>
        <w:tc>
          <w:tcPr>
            <w:tcW w:w="2303" w:type="dxa"/>
          </w:tcPr>
          <w:p w:rsidRPr="002103E5" w:rsidR="002103E5" w:rsidP="6E6DE770" w:rsidRDefault="002103E5" w14:paraId="03968477" w14:textId="77777777">
            <w:pPr>
              <w:rPr>
                <w:rFonts w:eastAsia="Verdana" w:cs="Verdana"/>
                <w:lang w:bidi="en-GB"/>
              </w:rPr>
            </w:pPr>
          </w:p>
        </w:tc>
        <w:tc>
          <w:tcPr>
            <w:tcW w:w="2304" w:type="dxa"/>
          </w:tcPr>
          <w:p w:rsidRPr="002103E5" w:rsidR="002103E5" w:rsidP="6E6DE770" w:rsidRDefault="002103E5" w14:paraId="40647E94" w14:textId="77777777">
            <w:pPr>
              <w:rPr>
                <w:rFonts w:eastAsia="Verdana" w:cs="Verdana"/>
                <w:lang w:bidi="en-GB"/>
              </w:rPr>
            </w:pPr>
          </w:p>
        </w:tc>
        <w:tc>
          <w:tcPr>
            <w:tcW w:w="2304" w:type="dxa"/>
          </w:tcPr>
          <w:p w:rsidRPr="002103E5" w:rsidR="002103E5" w:rsidP="6E6DE770" w:rsidRDefault="002103E5" w14:paraId="6A58DA31" w14:textId="77777777">
            <w:pPr>
              <w:rPr>
                <w:rFonts w:eastAsia="Verdana" w:cs="Verdana"/>
                <w:lang w:bidi="en-GB"/>
              </w:rPr>
            </w:pPr>
          </w:p>
        </w:tc>
      </w:tr>
      <w:tr w:rsidRPr="002103E5" w:rsidR="002103E5" w:rsidTr="6E6DE770" w14:paraId="53FE7688" w14:textId="77777777">
        <w:tc>
          <w:tcPr>
            <w:tcW w:w="3539" w:type="dxa"/>
          </w:tcPr>
          <w:p w:rsidRPr="002103E5" w:rsidR="002103E5" w:rsidP="6E6DE770" w:rsidRDefault="002103E5" w14:paraId="3133E835" w14:textId="77777777">
            <w:pPr>
              <w:rPr>
                <w:rFonts w:eastAsia="Verdana" w:cs="Verdana"/>
                <w:lang w:bidi="en-GB"/>
              </w:rPr>
            </w:pPr>
          </w:p>
        </w:tc>
        <w:tc>
          <w:tcPr>
            <w:tcW w:w="2303" w:type="dxa"/>
          </w:tcPr>
          <w:p w:rsidRPr="002103E5" w:rsidR="002103E5" w:rsidP="6E6DE770" w:rsidRDefault="002103E5" w14:paraId="2F5FF9C5" w14:textId="77777777">
            <w:pPr>
              <w:rPr>
                <w:rFonts w:eastAsia="Verdana" w:cs="Verdana"/>
                <w:lang w:bidi="en-GB"/>
              </w:rPr>
            </w:pPr>
          </w:p>
        </w:tc>
        <w:tc>
          <w:tcPr>
            <w:tcW w:w="2304" w:type="dxa"/>
          </w:tcPr>
          <w:p w:rsidRPr="002103E5" w:rsidR="002103E5" w:rsidP="6E6DE770" w:rsidRDefault="002103E5" w14:paraId="0FFDBD1B" w14:textId="77777777">
            <w:pPr>
              <w:rPr>
                <w:rFonts w:eastAsia="Verdana" w:cs="Verdana"/>
                <w:lang w:bidi="en-GB"/>
              </w:rPr>
            </w:pPr>
          </w:p>
        </w:tc>
        <w:tc>
          <w:tcPr>
            <w:tcW w:w="2304" w:type="dxa"/>
          </w:tcPr>
          <w:p w:rsidRPr="002103E5" w:rsidR="002103E5" w:rsidP="6E6DE770" w:rsidRDefault="002103E5" w14:paraId="144C73AD" w14:textId="77777777">
            <w:pPr>
              <w:rPr>
                <w:rFonts w:eastAsia="Verdana" w:cs="Verdana"/>
                <w:lang w:bidi="en-GB"/>
              </w:rPr>
            </w:pPr>
          </w:p>
        </w:tc>
      </w:tr>
    </w:tbl>
    <w:p w:rsidRPr="002103E5" w:rsidR="002103E5" w:rsidP="6E6DE770" w:rsidRDefault="002103E5" w14:paraId="2C2EA4F7" w14:textId="77777777">
      <w:pPr>
        <w:rPr>
          <w:rFonts w:eastAsia="Verdana" w:cs="Verdana"/>
          <w:lang w:bidi="en-GB"/>
        </w:rPr>
      </w:pPr>
    </w:p>
    <w:p w:rsidRPr="00BC0734" w:rsidR="00BC0734" w:rsidP="6E6DE770" w:rsidRDefault="00BC0734" w14:paraId="402D67D8" w14:textId="28F5AED9">
      <w:pPr>
        <w:rPr>
          <w:rFonts w:eastAsia="Verdana" w:cs="Verdana"/>
        </w:rPr>
      </w:pPr>
    </w:p>
    <w:p w:rsidRPr="00BC0734" w:rsidR="00BC0734" w:rsidP="6E6DE770" w:rsidRDefault="00BC0734" w14:paraId="74418B74" w14:textId="118FCC11">
      <w:pPr>
        <w:rPr>
          <w:rFonts w:eastAsia="Verdana" w:cs="Verdana"/>
        </w:rPr>
      </w:pPr>
    </w:p>
    <w:p w:rsidRPr="00BC0734" w:rsidR="00BC0734" w:rsidP="6E6DE770" w:rsidRDefault="00BC0734" w14:paraId="54946371" w14:textId="5BB7D9E3">
      <w:pPr>
        <w:rPr>
          <w:rFonts w:eastAsia="Verdana" w:cs="Verdana"/>
        </w:rPr>
      </w:pPr>
    </w:p>
    <w:p w:rsidRPr="00BC0734" w:rsidR="00BC0734" w:rsidP="6E6DE770" w:rsidRDefault="00BC0734" w14:paraId="372ED2A0" w14:textId="1A5312F4">
      <w:pPr>
        <w:tabs>
          <w:tab w:val="left" w:pos="6249"/>
        </w:tabs>
        <w:rPr>
          <w:rFonts w:eastAsia="Verdana" w:cs="Verdana"/>
        </w:rPr>
      </w:pPr>
      <w:r>
        <w:tab/>
      </w:r>
    </w:p>
    <w:sectPr w:rsidRPr="00BC0734" w:rsidR="00BC0734" w:rsidSect="0055396F">
      <w:headerReference w:type="even" r:id="rId12"/>
      <w:headerReference w:type="default" r:id="rId13"/>
      <w:footerReference w:type="even" r:id="rId14"/>
      <w:footerReference w:type="default" r:id="rId15"/>
      <w:headerReference w:type="first" r:id="rId16"/>
      <w:footerReference w:type="first" r:id="rId17"/>
      <w:pgSz w:w="11900" w:h="16840" w:orient="portrait"/>
      <w:pgMar w:top="720" w:right="720" w:bottom="720" w:left="720"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7EB2" w:rsidP="005F3318" w:rsidRDefault="00257EB2" w14:paraId="3E9C8D8B" w14:textId="77777777">
      <w:r>
        <w:separator/>
      </w:r>
    </w:p>
  </w:endnote>
  <w:endnote w:type="continuationSeparator" w:id="0">
    <w:p w:rsidR="00257EB2" w:rsidP="005F3318" w:rsidRDefault="00257EB2" w14:paraId="657B67EE" w14:textId="77777777">
      <w:r>
        <w:continuationSeparator/>
      </w:r>
    </w:p>
  </w:endnote>
  <w:endnote w:type="continuationNotice" w:id="1">
    <w:p w:rsidR="00257EB2" w:rsidRDefault="00257EB2" w14:paraId="54F983B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w:fontKey="{13EBD007-D3DB-414E-85F6-3A9E3858B84A}" r:id="rId1"/>
    <w:embedBold w:fontKey="{9B1237C2-03F5-4C02-BEFC-9E42173BD36D}" r:id="rId2"/>
    <w:embedItalic w:fontKey="{36C6A767-02EA-4C1F-80BB-4E5560F19FCD}" r:id="rId3"/>
    <w:embedBoldItalic w:fontKey="{7A99A93E-C576-468D-9F79-7B1CF41E7752}" r:id="rId4"/>
  </w:font>
  <w:font w:name="Verdana">
    <w:panose1 w:val="020B0604030504040204"/>
    <w:charset w:val="00"/>
    <w:family w:val="swiss"/>
    <w:pitch w:val="variable"/>
    <w:sig w:usb0="A00006FF" w:usb1="4000205B" w:usb2="00000010" w:usb3="00000000" w:csb0="0000019F" w:csb1="00000000"/>
    <w:embedRegular w:fontKey="{3EE14089-D49A-498B-8745-C0CF15844592}" r:id="rId5"/>
    <w:embedBold w:fontKey="{A190D130-23A8-4573-97C0-EA2024B6D48F}" r:id="rId6"/>
    <w:embedItalic w:fontKey="{1EBC40CA-3376-4DFE-BD2C-ADC28ED48D58}" r:id="rId7"/>
    <w:embedBoldItalic w:fontKey="{51782B78-B3A8-4032-B10D-A9C0F768EE33}" r:id="rId8"/>
  </w:font>
  <w:font w:name="Calibri Light">
    <w:panose1 w:val="020F0302020204030204"/>
    <w:charset w:val="00"/>
    <w:family w:val="swiss"/>
    <w:pitch w:val="variable"/>
    <w:sig w:usb0="E4002EFF" w:usb1="C200247B" w:usb2="00000009" w:usb3="00000000" w:csb0="000001FF" w:csb1="00000000"/>
    <w:embedRegular w:fontKey="{AD709F26-8A31-48DF-82BF-594248B92BCA}" r:id="rId9"/>
    <w:embedItalic w:fontKey="{EEDB5757-E48C-4255-A7AF-C1F446BDF651}" r:id="rId10"/>
  </w:font>
  <w:font w:name="Minion Pro">
    <w:altName w:val="Cambria"/>
    <w:charset w:val="00"/>
    <w:family w:val="roman"/>
    <w:pitch w:val="variable"/>
    <w:sig w:usb0="E00002AF" w:usb1="5000E07B" w:usb2="00000000" w:usb3="00000000" w:csb0="0000019F" w:csb1="00000000"/>
  </w:font>
  <w:font w:name="Poppins">
    <w:charset w:val="00"/>
    <w:family w:val="auto"/>
    <w:pitch w:val="variable"/>
    <w:sig w:usb0="00008007" w:usb1="00000000" w:usb2="00000000" w:usb3="00000000" w:csb0="00000093" w:csb1="00000000"/>
    <w:embedRegular w:fontKey="{4AB00569-A9B2-4E58-BD8B-60F9CDD2D469}" r:id="rId11"/>
    <w:embedBold w:fontKey="{FADCBF13-0CA3-4ADF-9AE2-411EA6909C68}" r:id="rId12"/>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w:fontKey="{F97DBA95-5F1E-43AD-A725-3698414492F7}" r:id="rId13"/>
    <w:embedBold w:fontKey="{8596E9A2-BA61-4BD9-B7DF-723E153EBF72}" r:id="rId14"/>
  </w:font>
  <w:font w:name="Segoe UI">
    <w:panose1 w:val="020B0502040204020203"/>
    <w:charset w:val="00"/>
    <w:family w:val="swiss"/>
    <w:pitch w:val="variable"/>
    <w:sig w:usb0="E4002EFF" w:usb1="C000E47F" w:usb2="00000009" w:usb3="00000000" w:csb0="000001FF" w:csb1="00000000"/>
    <w:embedRegular w:fontKey="{EE55EAEF-FDDE-4889-8731-6BA48F48DE3B}" r:id="rId15"/>
    <w:embedBold w:fontKey="{F457CAE5-8A32-441A-A387-19529D268C5C}" r:id="rId1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EAC" w:rsidRDefault="00404EAC" w14:paraId="5A3425D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D2C60" w:rsidR="009D1E4E" w:rsidP="00112623" w:rsidRDefault="006D2C60" w14:paraId="11C060B7" w14:textId="38F6EE0F">
    <w:pPr>
      <w:pStyle w:val="Smallprint"/>
    </w:pPr>
    <w:r w:rsidRPr="006D2C60">
      <w:ptab w:alignment="right" w:relativeTo="margin" w:leader="none"/>
    </w:r>
    <w:r w:rsidRPr="006D2C60">
      <w:t xml:space="preserve">Page </w:t>
    </w:r>
    <w:r w:rsidRPr="006D2C60">
      <w:fldChar w:fldCharType="begin"/>
    </w:r>
    <w:r w:rsidRPr="006D2C60">
      <w:instrText xml:space="preserve"> PAGE  \* Arabic  \* MERGEFORMAT </w:instrText>
    </w:r>
    <w:r w:rsidRPr="006D2C60">
      <w:fldChar w:fldCharType="separate"/>
    </w:r>
    <w:r w:rsidRPr="006D2C60">
      <w:rPr>
        <w:noProof/>
      </w:rPr>
      <w:t>2</w:t>
    </w:r>
    <w:r w:rsidRPr="006D2C6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8664488"/>
      <w:docPartObj>
        <w:docPartGallery w:val="Page Numbers (Bottom of Page)"/>
        <w:docPartUnique/>
      </w:docPartObj>
    </w:sdtPr>
    <w:sdtEndPr>
      <w:rPr>
        <w:noProof/>
      </w:rPr>
    </w:sdtEndPr>
    <w:sdtContent>
      <w:p w:rsidR="0055396F" w:rsidRDefault="001B2CA3" w14:paraId="35C0A785" w14:textId="2DAF67AD">
        <w:pPr>
          <w:pStyle w:val="Footer"/>
          <w:jc w:val="right"/>
        </w:pPr>
        <w:r w:rsidRPr="00944772">
          <w:rPr>
            <w:rStyle w:val="SmallprintChar"/>
          </w:rPr>
          <w:t xml:space="preserve">Page </w:t>
        </w:r>
        <w:r w:rsidRPr="00944772" w:rsidR="0055396F">
          <w:rPr>
            <w:rStyle w:val="SmallprintChar"/>
          </w:rPr>
          <w:fldChar w:fldCharType="begin"/>
        </w:r>
        <w:r w:rsidRPr="00944772" w:rsidR="0055396F">
          <w:rPr>
            <w:rStyle w:val="SmallprintChar"/>
          </w:rPr>
          <w:instrText xml:space="preserve"> PAGE   \* MERGEFORMAT </w:instrText>
        </w:r>
        <w:r w:rsidRPr="00944772" w:rsidR="0055396F">
          <w:rPr>
            <w:rStyle w:val="SmallprintChar"/>
          </w:rPr>
          <w:fldChar w:fldCharType="separate"/>
        </w:r>
        <w:r w:rsidRPr="00944772" w:rsidR="0055396F">
          <w:rPr>
            <w:rStyle w:val="SmallprintChar"/>
          </w:rPr>
          <w:t>2</w:t>
        </w:r>
        <w:r w:rsidRPr="00944772" w:rsidR="0055396F">
          <w:rPr>
            <w:rStyle w:val="SmallprintChar"/>
          </w:rPr>
          <w:fldChar w:fldCharType="end"/>
        </w:r>
      </w:p>
    </w:sdtContent>
  </w:sdt>
  <w:p w:rsidRPr="0022741E" w:rsidR="00C26704" w:rsidP="00C26704" w:rsidRDefault="00C26704" w14:paraId="75B815C3" w14:textId="0C4FE755">
    <w:pPr>
      <w:pStyle w:val="Footer"/>
      <w:ind w:right="360" w:firstLine="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7EB2" w:rsidP="005F3318" w:rsidRDefault="00257EB2" w14:paraId="45482A51" w14:textId="77777777">
      <w:r>
        <w:separator/>
      </w:r>
    </w:p>
  </w:footnote>
  <w:footnote w:type="continuationSeparator" w:id="0">
    <w:p w:rsidR="00257EB2" w:rsidP="005F3318" w:rsidRDefault="00257EB2" w14:paraId="2D35906D" w14:textId="77777777">
      <w:r>
        <w:continuationSeparator/>
      </w:r>
    </w:p>
  </w:footnote>
  <w:footnote w:type="continuationNotice" w:id="1">
    <w:p w:rsidR="00257EB2" w:rsidRDefault="00257EB2" w14:paraId="41AE58C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EAC" w:rsidRDefault="00404EAC" w14:paraId="61E2C6F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p w:rsidR="005102E9" w:rsidP="00765819" w:rsidRDefault="00893C93" w14:paraId="0FBC6C06" w14:textId="3815E7DC">
    <w:pPr>
      <w:pStyle w:val="Smallprint"/>
      <w:tabs>
        <w:tab w:val="left" w:pos="1230"/>
        <w:tab w:val="left" w:pos="8085"/>
      </w:tabs>
      <w:jc w:val="right"/>
      <w:rPr>
        <w:noProof/>
      </w:rPr>
    </w:pPr>
    <w:r>
      <w:rPr>
        <w:rFonts w:cs="Poppins"/>
        <w:noProof/>
      </w:rPr>
      <w:drawing>
        <wp:inline distT="0" distB="0" distL="0" distR="0" wp14:anchorId="38ABE4DE" wp14:editId="6ABA0272">
          <wp:extent cx="1226727" cy="315595"/>
          <wp:effectExtent l="0" t="0" r="0" b="8255"/>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45997" cy="320552"/>
                  </a:xfrm>
                  <a:prstGeom prst="rect">
                    <a:avLst/>
                  </a:prstGeom>
                </pic:spPr>
              </pic:pic>
            </a:graphicData>
          </a:graphic>
        </wp:inline>
      </w:drawing>
    </w:r>
  </w:p>
  <w:p w:rsidR="009D1E4E" w:rsidP="005102E9" w:rsidRDefault="00A00538" w14:paraId="03712590" w14:textId="02BBFB75">
    <w:pPr>
      <w:pStyle w:val="Smallprint"/>
      <w:tabs>
        <w:tab w:val="left" w:pos="1230"/>
        <w:tab w:val="left" w:pos="8085"/>
      </w:tabs>
      <w:rPr>
        <w:noProof/>
      </w:rPr>
    </w:pPr>
    <w:r>
      <w:rPr>
        <w:noProof/>
      </w:rPr>
      <w:t>Sinking Fund Policy</w:t>
    </w:r>
    <w:r w:rsidR="002811DB">
      <w:rPr>
        <w:noProof/>
      </w:rPr>
      <w:tab/>
    </w:r>
    <w:r w:rsidR="00F52429">
      <w:rPr>
        <w:noProof/>
      </w:rPr>
      <w:tab/>
    </w:r>
    <w:r w:rsidR="00F52429">
      <w:rPr>
        <w:noProof/>
      </w:rPr>
      <w:tab/>
    </w:r>
    <w:r w:rsidR="00F52429">
      <w:rPr>
        <w:noProof/>
      </w:rPr>
      <w:tab/>
    </w:r>
  </w:p>
  <w:p w:rsidRPr="00A216C1" w:rsidR="00DB7F2B" w:rsidP="00F52429" w:rsidRDefault="005102E9" w14:paraId="427F229F" w14:textId="4F88F3CD">
    <w:pPr>
      <w:pStyle w:val="Smallprint"/>
      <w:tabs>
        <w:tab w:val="left" w:pos="1230"/>
        <w:tab w:val="left" w:pos="8085"/>
      </w:tabs>
      <w:rPr>
        <w:noProof/>
      </w:rPr>
    </w:pPr>
    <w:r>
      <w:rPr>
        <w:noProof/>
      </w:rPr>
      <mc:AlternateContent>
        <mc:Choice Requires="wps">
          <w:drawing>
            <wp:anchor distT="0" distB="0" distL="114300" distR="114300" simplePos="0" relativeHeight="251658240" behindDoc="0" locked="0" layoutInCell="1" allowOverlap="1" wp14:anchorId="1D1EB01C" wp14:editId="6D495B53">
              <wp:simplePos x="0" y="0"/>
              <wp:positionH relativeFrom="column">
                <wp:posOffset>-456565</wp:posOffset>
              </wp:positionH>
              <wp:positionV relativeFrom="paragraph">
                <wp:posOffset>116840</wp:posOffset>
              </wp:positionV>
              <wp:extent cx="7600950" cy="0"/>
              <wp:effectExtent l="0" t="19050" r="38100" b="38100"/>
              <wp:wrapNone/>
              <wp:docPr id="4" name="Straight Connector 4"/>
              <wp:cNvGraphicFramePr/>
              <a:graphic xmlns:a="http://schemas.openxmlformats.org/drawingml/2006/main">
                <a:graphicData uri="http://schemas.microsoft.com/office/word/2010/wordprocessingShape">
                  <wps:wsp>
                    <wps:cNvCnPr/>
                    <wps:spPr>
                      <a:xfrm>
                        <a:off x="0" y="0"/>
                        <a:ext cx="7600950" cy="0"/>
                      </a:xfrm>
                      <a:prstGeom prst="line">
                        <a:avLst/>
                      </a:prstGeom>
                      <a:ln w="57150">
                        <a:solidFill>
                          <a:srgbClr val="B22A2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22a2e" strokeweight="4.5pt" from="-35.95pt,9.2pt" to="562.55pt,9.2pt" w14:anchorId="6E267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xuFwQEAAN8DAAAOAAAAZHJzL2Uyb0RvYy54bWysU8tu2zAQvAfoPxC813oAeQmWgzZpeima&#10;IG0+gKaWFgG+QLKW/PddUrIctEGAFL1QXHJndna4Wt+MWpE9+CCtaWm1KikBw20nza6lzz/vP15R&#10;EiIzHVPWQEsPEOjN5sPZenAN1La3qgNPkMSEZnAt7WN0TVEE3oNmYWUdGLwU1msWMfS7ovNsQHat&#10;irosL4rB+s55yyEEPL2bLukm8wsBPD4IESAS1VLUFvPq87pNa7FZs2bnmesln2Wwf1ChmTRYdKG6&#10;Y5GRX17+RaUl9zZYEVfc6sIKITnkHrCbqvyjmx89c5B7QXOCW2wK/4+Wf9/fmkePNgwuNME9+tTF&#10;KLxOX9RHxmzWYTELxkg4Hl5elOX1OXrKj3fFCeh8iF/BapI2LVXSpD5Yw/bfQsRimHpMScfKkKGl&#10;55cV8qU4WCW7e6lUDvxue6s82TN8w891/an+kp4NKV6kYaQMHp66yLt4UDAVeAJBZIe6q6lCGjBY&#10;aBnnYGI18yqD2QkmUMICnKW9BZzzExTy8L0HvCByZWviAtbSWP+a7DgeJYsp/+jA1HeyYGu7Q37f&#10;bA1OUXZunvg0pi/jDD/9l5vfAAAA//8DAFBLAwQUAAYACAAAACEAXGSijN4AAAAKAQAADwAAAGRy&#10;cy9kb3ducmV2LnhtbEyPwU7DMAyG70i8Q2QkblvaqYOuNJ0QEiDtxAbSdnQb01Y0TmnSrXt7MnGA&#10;o/1/+v05X0+mE0caXGtZQTyPQBBXVrdcK/h4f56lIJxH1thZJgVncrAurq9yzLQ98ZaOO1+LUMIu&#10;QwWN930mpasaMujmticO2acdDPowDrXUA55CuenkIorupMGWw4UGe3pqqPrajUbBUu43q3Na6c1Y&#10;vr69mD7B5Pug1O3N9PgAwtPk/2C46Ad1KIJTaUfWTnQKZvfxKqAhSBMQFyBeLGMQ5e9GFrn8/0Lx&#10;AwAA//8DAFBLAQItABQABgAIAAAAIQC2gziS/gAAAOEBAAATAAAAAAAAAAAAAAAAAAAAAABbQ29u&#10;dGVudF9UeXBlc10ueG1sUEsBAi0AFAAGAAgAAAAhADj9If/WAAAAlAEAAAsAAAAAAAAAAAAAAAAA&#10;LwEAAF9yZWxzLy5yZWxzUEsBAi0AFAAGAAgAAAAhAHcfG4XBAQAA3wMAAA4AAAAAAAAAAAAAAAAA&#10;LgIAAGRycy9lMm9Eb2MueG1sUEsBAi0AFAAGAAgAAAAhAFxkoozeAAAACgEAAA8AAAAAAAAAAAAA&#10;AAAAGwQAAGRycy9kb3ducmV2LnhtbFBLBQYAAAAABAAEAPMAAAAmBQAAAAA=&#10;">
              <v:stroke joinstyle="miter"/>
            </v:line>
          </w:pict>
        </mc:Fallback>
      </mc:AlternateContent>
    </w:r>
  </w:p>
  <w:p w:rsidR="002951F2" w:rsidRDefault="002951F2" w14:paraId="07320DA9" w14:textId="732F28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p w:rsidRPr="0022741E" w:rsidR="00542CD4" w:rsidP="0055396F" w:rsidRDefault="00893C93" w14:paraId="15466BEA" w14:textId="568338DF">
    <w:pPr>
      <w:pStyle w:val="Header"/>
      <w:jc w:val="right"/>
      <w:rPr>
        <w:rFonts w:cs="Poppins"/>
      </w:rPr>
    </w:pPr>
    <w:r>
      <w:rPr>
        <w:rFonts w:cs="Poppins"/>
        <w:noProof/>
      </w:rPr>
      <w:drawing>
        <wp:inline distT="0" distB="0" distL="0" distR="0" wp14:anchorId="67066E42" wp14:editId="7B25FACA">
          <wp:extent cx="2078990" cy="534853"/>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00131" cy="540292"/>
                  </a:xfrm>
                  <a:prstGeom prst="rect">
                    <a:avLst/>
                  </a:prstGeom>
                </pic:spPr>
              </pic:pic>
            </a:graphicData>
          </a:graphic>
        </wp:inline>
      </w:drawing>
    </w:r>
  </w:p>
  <w:p w:rsidR="00BC0734" w:rsidRDefault="00BC0734" w14:paraId="4070DECD" w14:textId="452025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B6AD3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906D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EE9A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B602A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38AD17E"/>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B2723E9C"/>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A4DC1706"/>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6E9CF168"/>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8910CF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27EE450"/>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2A34EB1"/>
    <w:multiLevelType w:val="hybridMultilevel"/>
    <w:tmpl w:val="506EF3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06228E"/>
    <w:multiLevelType w:val="hybridMultilevel"/>
    <w:tmpl w:val="8E527B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0B322827"/>
    <w:multiLevelType w:val="hybridMultilevel"/>
    <w:tmpl w:val="27C078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10D14789"/>
    <w:multiLevelType w:val="hybridMultilevel"/>
    <w:tmpl w:val="FCD29ECC"/>
    <w:lvl w:ilvl="0" w:tplc="FFFFFFFF">
      <w:start w:val="1"/>
      <w:numFmt w:val="bullet"/>
      <w:lvlText w:val=""/>
      <w:lvlJc w:val="left"/>
      <w:pPr>
        <w:ind w:left="720" w:hanging="360"/>
      </w:pPr>
      <w:rPr>
        <w:rFonts w:hint="default" w:ascii="Symbol" w:hAnsi="Symbol"/>
      </w:rPr>
    </w:lvl>
    <w:lvl w:ilvl="1" w:tplc="08090001">
      <w:start w:val="1"/>
      <w:numFmt w:val="bullet"/>
      <w:lvlText w:val=""/>
      <w:lvlJc w:val="left"/>
      <w:pPr>
        <w:ind w:left="72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4" w15:restartNumberingAfterBreak="0">
    <w:nsid w:val="1350EA89"/>
    <w:multiLevelType w:val="hybridMultilevel"/>
    <w:tmpl w:val="9B7AFC9C"/>
    <w:lvl w:ilvl="0" w:tplc="9C003BC4">
      <w:start w:val="1"/>
      <w:numFmt w:val="bullet"/>
      <w:lvlText w:val=""/>
      <w:lvlJc w:val="left"/>
      <w:pPr>
        <w:ind w:left="720" w:hanging="360"/>
      </w:pPr>
      <w:rPr>
        <w:rFonts w:hint="default" w:ascii="Symbol" w:hAnsi="Symbol"/>
      </w:rPr>
    </w:lvl>
    <w:lvl w:ilvl="1" w:tplc="56E87268">
      <w:start w:val="1"/>
      <w:numFmt w:val="bullet"/>
      <w:lvlText w:val="o"/>
      <w:lvlJc w:val="left"/>
      <w:pPr>
        <w:ind w:left="1440" w:hanging="360"/>
      </w:pPr>
      <w:rPr>
        <w:rFonts w:hint="default" w:ascii="Courier New" w:hAnsi="Courier New"/>
      </w:rPr>
    </w:lvl>
    <w:lvl w:ilvl="2" w:tplc="948C6944">
      <w:start w:val="1"/>
      <w:numFmt w:val="bullet"/>
      <w:lvlText w:val=""/>
      <w:lvlJc w:val="left"/>
      <w:pPr>
        <w:ind w:left="2160" w:hanging="360"/>
      </w:pPr>
      <w:rPr>
        <w:rFonts w:hint="default" w:ascii="Wingdings" w:hAnsi="Wingdings"/>
      </w:rPr>
    </w:lvl>
    <w:lvl w:ilvl="3" w:tplc="C4489052">
      <w:start w:val="1"/>
      <w:numFmt w:val="bullet"/>
      <w:lvlText w:val=""/>
      <w:lvlJc w:val="left"/>
      <w:pPr>
        <w:ind w:left="2880" w:hanging="360"/>
      </w:pPr>
      <w:rPr>
        <w:rFonts w:hint="default" w:ascii="Symbol" w:hAnsi="Symbol"/>
      </w:rPr>
    </w:lvl>
    <w:lvl w:ilvl="4" w:tplc="05562650">
      <w:start w:val="1"/>
      <w:numFmt w:val="bullet"/>
      <w:lvlText w:val="o"/>
      <w:lvlJc w:val="left"/>
      <w:pPr>
        <w:ind w:left="3600" w:hanging="360"/>
      </w:pPr>
      <w:rPr>
        <w:rFonts w:hint="default" w:ascii="Courier New" w:hAnsi="Courier New"/>
      </w:rPr>
    </w:lvl>
    <w:lvl w:ilvl="5" w:tplc="42BEDACC">
      <w:start w:val="1"/>
      <w:numFmt w:val="bullet"/>
      <w:lvlText w:val=""/>
      <w:lvlJc w:val="left"/>
      <w:pPr>
        <w:ind w:left="4320" w:hanging="360"/>
      </w:pPr>
      <w:rPr>
        <w:rFonts w:hint="default" w:ascii="Wingdings" w:hAnsi="Wingdings"/>
      </w:rPr>
    </w:lvl>
    <w:lvl w:ilvl="6" w:tplc="69E02D82">
      <w:start w:val="1"/>
      <w:numFmt w:val="bullet"/>
      <w:lvlText w:val=""/>
      <w:lvlJc w:val="left"/>
      <w:pPr>
        <w:ind w:left="5040" w:hanging="360"/>
      </w:pPr>
      <w:rPr>
        <w:rFonts w:hint="default" w:ascii="Symbol" w:hAnsi="Symbol"/>
      </w:rPr>
    </w:lvl>
    <w:lvl w:ilvl="7" w:tplc="1D72E784">
      <w:start w:val="1"/>
      <w:numFmt w:val="bullet"/>
      <w:lvlText w:val="o"/>
      <w:lvlJc w:val="left"/>
      <w:pPr>
        <w:ind w:left="5760" w:hanging="360"/>
      </w:pPr>
      <w:rPr>
        <w:rFonts w:hint="default" w:ascii="Courier New" w:hAnsi="Courier New"/>
      </w:rPr>
    </w:lvl>
    <w:lvl w:ilvl="8" w:tplc="5FF2621A">
      <w:start w:val="1"/>
      <w:numFmt w:val="bullet"/>
      <w:lvlText w:val=""/>
      <w:lvlJc w:val="left"/>
      <w:pPr>
        <w:ind w:left="6480" w:hanging="360"/>
      </w:pPr>
      <w:rPr>
        <w:rFonts w:hint="default" w:ascii="Wingdings" w:hAnsi="Wingdings"/>
      </w:rPr>
    </w:lvl>
  </w:abstractNum>
  <w:abstractNum w:abstractNumId="15" w15:restartNumberingAfterBreak="0">
    <w:nsid w:val="166EE9F4"/>
    <w:multiLevelType w:val="hybridMultilevel"/>
    <w:tmpl w:val="3CF04560"/>
    <w:lvl w:ilvl="0" w:tplc="E6C21BC8">
      <w:start w:val="1"/>
      <w:numFmt w:val="decimal"/>
      <w:lvlText w:val="%1."/>
      <w:lvlJc w:val="left"/>
      <w:pPr>
        <w:ind w:left="720" w:hanging="360"/>
      </w:pPr>
    </w:lvl>
    <w:lvl w:ilvl="1" w:tplc="4F44563C">
      <w:start w:val="1"/>
      <w:numFmt w:val="lowerLetter"/>
      <w:lvlText w:val="%2."/>
      <w:lvlJc w:val="left"/>
      <w:pPr>
        <w:ind w:left="1440" w:hanging="360"/>
      </w:pPr>
    </w:lvl>
    <w:lvl w:ilvl="2" w:tplc="BA56FAB4">
      <w:start w:val="1"/>
      <w:numFmt w:val="lowerRoman"/>
      <w:lvlText w:val="%3."/>
      <w:lvlJc w:val="right"/>
      <w:pPr>
        <w:ind w:left="2160" w:hanging="180"/>
      </w:pPr>
    </w:lvl>
    <w:lvl w:ilvl="3" w:tplc="59A2391A">
      <w:start w:val="1"/>
      <w:numFmt w:val="decimal"/>
      <w:lvlText w:val="%4."/>
      <w:lvlJc w:val="left"/>
      <w:pPr>
        <w:ind w:left="2880" w:hanging="360"/>
      </w:pPr>
    </w:lvl>
    <w:lvl w:ilvl="4" w:tplc="25FA3AAE">
      <w:start w:val="1"/>
      <w:numFmt w:val="lowerLetter"/>
      <w:lvlText w:val="%5."/>
      <w:lvlJc w:val="left"/>
      <w:pPr>
        <w:ind w:left="3600" w:hanging="360"/>
      </w:pPr>
    </w:lvl>
    <w:lvl w:ilvl="5" w:tplc="9B24602E">
      <w:start w:val="1"/>
      <w:numFmt w:val="lowerRoman"/>
      <w:lvlText w:val="%6."/>
      <w:lvlJc w:val="right"/>
      <w:pPr>
        <w:ind w:left="4320" w:hanging="180"/>
      </w:pPr>
    </w:lvl>
    <w:lvl w:ilvl="6" w:tplc="43D00840">
      <w:start w:val="1"/>
      <w:numFmt w:val="decimal"/>
      <w:lvlText w:val="%7."/>
      <w:lvlJc w:val="left"/>
      <w:pPr>
        <w:ind w:left="5040" w:hanging="360"/>
      </w:pPr>
    </w:lvl>
    <w:lvl w:ilvl="7" w:tplc="C8505F44">
      <w:start w:val="1"/>
      <w:numFmt w:val="lowerLetter"/>
      <w:lvlText w:val="%8."/>
      <w:lvlJc w:val="left"/>
      <w:pPr>
        <w:ind w:left="5760" w:hanging="360"/>
      </w:pPr>
    </w:lvl>
    <w:lvl w:ilvl="8" w:tplc="121E804C">
      <w:start w:val="1"/>
      <w:numFmt w:val="lowerRoman"/>
      <w:lvlText w:val="%9."/>
      <w:lvlJc w:val="right"/>
      <w:pPr>
        <w:ind w:left="6480" w:hanging="180"/>
      </w:pPr>
    </w:lvl>
  </w:abstractNum>
  <w:abstractNum w:abstractNumId="16" w15:restartNumberingAfterBreak="0">
    <w:nsid w:val="19D64DA4"/>
    <w:multiLevelType w:val="hybridMultilevel"/>
    <w:tmpl w:val="017E7E1E"/>
    <w:lvl w:ilvl="0" w:tplc="D00CDD0A">
      <w:start w:val="1"/>
      <w:numFmt w:val="decimal"/>
      <w:lvlText w:val="%1."/>
      <w:lvlJc w:val="left"/>
      <w:pPr>
        <w:ind w:left="720" w:hanging="360"/>
      </w:pPr>
    </w:lvl>
    <w:lvl w:ilvl="1" w:tplc="4EE413A2">
      <w:start w:val="1"/>
      <w:numFmt w:val="lowerLetter"/>
      <w:lvlText w:val="%2."/>
      <w:lvlJc w:val="left"/>
      <w:pPr>
        <w:ind w:left="1440" w:hanging="360"/>
      </w:pPr>
    </w:lvl>
    <w:lvl w:ilvl="2" w:tplc="72908A9E">
      <w:start w:val="1"/>
      <w:numFmt w:val="lowerRoman"/>
      <w:lvlText w:val="%3."/>
      <w:lvlJc w:val="right"/>
      <w:pPr>
        <w:ind w:left="2160" w:hanging="180"/>
      </w:pPr>
    </w:lvl>
    <w:lvl w:ilvl="3" w:tplc="6096EB3A">
      <w:start w:val="1"/>
      <w:numFmt w:val="decimal"/>
      <w:lvlText w:val="%4."/>
      <w:lvlJc w:val="left"/>
      <w:pPr>
        <w:ind w:left="2880" w:hanging="360"/>
      </w:pPr>
    </w:lvl>
    <w:lvl w:ilvl="4" w:tplc="9838452A">
      <w:start w:val="1"/>
      <w:numFmt w:val="lowerLetter"/>
      <w:lvlText w:val="%5."/>
      <w:lvlJc w:val="left"/>
      <w:pPr>
        <w:ind w:left="3600" w:hanging="360"/>
      </w:pPr>
    </w:lvl>
    <w:lvl w:ilvl="5" w:tplc="F2A08816">
      <w:start w:val="1"/>
      <w:numFmt w:val="lowerRoman"/>
      <w:lvlText w:val="%6."/>
      <w:lvlJc w:val="right"/>
      <w:pPr>
        <w:ind w:left="4320" w:hanging="180"/>
      </w:pPr>
    </w:lvl>
    <w:lvl w:ilvl="6" w:tplc="14742634">
      <w:start w:val="1"/>
      <w:numFmt w:val="decimal"/>
      <w:lvlText w:val="%7."/>
      <w:lvlJc w:val="left"/>
      <w:pPr>
        <w:ind w:left="5040" w:hanging="360"/>
      </w:pPr>
    </w:lvl>
    <w:lvl w:ilvl="7" w:tplc="EA06884E">
      <w:start w:val="1"/>
      <w:numFmt w:val="lowerLetter"/>
      <w:lvlText w:val="%8."/>
      <w:lvlJc w:val="left"/>
      <w:pPr>
        <w:ind w:left="5760" w:hanging="360"/>
      </w:pPr>
    </w:lvl>
    <w:lvl w:ilvl="8" w:tplc="8A94CB24">
      <w:start w:val="1"/>
      <w:numFmt w:val="lowerRoman"/>
      <w:lvlText w:val="%9."/>
      <w:lvlJc w:val="right"/>
      <w:pPr>
        <w:ind w:left="6480" w:hanging="180"/>
      </w:pPr>
    </w:lvl>
  </w:abstractNum>
  <w:abstractNum w:abstractNumId="17" w15:restartNumberingAfterBreak="0">
    <w:nsid w:val="1B1934AC"/>
    <w:multiLevelType w:val="hybridMultilevel"/>
    <w:tmpl w:val="BC9065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1BA37AE7"/>
    <w:multiLevelType w:val="hybridMultilevel"/>
    <w:tmpl w:val="E7F2BE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254D2698"/>
    <w:multiLevelType w:val="hybridMultilevel"/>
    <w:tmpl w:val="8D78A8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26967C2B"/>
    <w:multiLevelType w:val="hybridMultilevel"/>
    <w:tmpl w:val="AE1CE1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28DB210D"/>
    <w:multiLevelType w:val="hybridMultilevel"/>
    <w:tmpl w:val="07162A50"/>
    <w:lvl w:ilvl="0" w:tplc="8698DB20">
      <w:numFmt w:val="none"/>
      <w:lvlText w:val=""/>
      <w:lvlJc w:val="left"/>
      <w:pPr>
        <w:tabs>
          <w:tab w:val="num" w:pos="360"/>
        </w:tabs>
      </w:pPr>
    </w:lvl>
    <w:lvl w:ilvl="1" w:tplc="0AD879BA">
      <w:start w:val="1"/>
      <w:numFmt w:val="lowerLetter"/>
      <w:lvlText w:val="%2."/>
      <w:lvlJc w:val="left"/>
      <w:pPr>
        <w:ind w:left="1440" w:hanging="360"/>
      </w:pPr>
    </w:lvl>
    <w:lvl w:ilvl="2" w:tplc="365E34FA">
      <w:start w:val="1"/>
      <w:numFmt w:val="lowerRoman"/>
      <w:lvlText w:val="%3."/>
      <w:lvlJc w:val="right"/>
      <w:pPr>
        <w:ind w:left="2160" w:hanging="180"/>
      </w:pPr>
    </w:lvl>
    <w:lvl w:ilvl="3" w:tplc="E29E675A">
      <w:start w:val="1"/>
      <w:numFmt w:val="decimal"/>
      <w:lvlText w:val="%4."/>
      <w:lvlJc w:val="left"/>
      <w:pPr>
        <w:ind w:left="2880" w:hanging="360"/>
      </w:pPr>
    </w:lvl>
    <w:lvl w:ilvl="4" w:tplc="60D095AA">
      <w:start w:val="1"/>
      <w:numFmt w:val="lowerLetter"/>
      <w:lvlText w:val="%5."/>
      <w:lvlJc w:val="left"/>
      <w:pPr>
        <w:ind w:left="3600" w:hanging="360"/>
      </w:pPr>
    </w:lvl>
    <w:lvl w:ilvl="5" w:tplc="27F65B60">
      <w:start w:val="1"/>
      <w:numFmt w:val="lowerRoman"/>
      <w:lvlText w:val="%6."/>
      <w:lvlJc w:val="right"/>
      <w:pPr>
        <w:ind w:left="4320" w:hanging="180"/>
      </w:pPr>
    </w:lvl>
    <w:lvl w:ilvl="6" w:tplc="D54A36FC">
      <w:start w:val="1"/>
      <w:numFmt w:val="decimal"/>
      <w:lvlText w:val="%7."/>
      <w:lvlJc w:val="left"/>
      <w:pPr>
        <w:ind w:left="5040" w:hanging="360"/>
      </w:pPr>
    </w:lvl>
    <w:lvl w:ilvl="7" w:tplc="AB72C988">
      <w:start w:val="1"/>
      <w:numFmt w:val="lowerLetter"/>
      <w:lvlText w:val="%8."/>
      <w:lvlJc w:val="left"/>
      <w:pPr>
        <w:ind w:left="5760" w:hanging="360"/>
      </w:pPr>
    </w:lvl>
    <w:lvl w:ilvl="8" w:tplc="ED4E54FE">
      <w:start w:val="1"/>
      <w:numFmt w:val="lowerRoman"/>
      <w:lvlText w:val="%9."/>
      <w:lvlJc w:val="right"/>
      <w:pPr>
        <w:ind w:left="6480" w:hanging="180"/>
      </w:pPr>
    </w:lvl>
  </w:abstractNum>
  <w:abstractNum w:abstractNumId="22" w15:restartNumberingAfterBreak="0">
    <w:nsid w:val="29EF7E16"/>
    <w:multiLevelType w:val="multilevel"/>
    <w:tmpl w:val="EF3EA71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2CA270D9"/>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4" w15:restartNumberingAfterBreak="0">
    <w:nsid w:val="2FE92789"/>
    <w:multiLevelType w:val="multilevel"/>
    <w:tmpl w:val="D0BE8A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30D74196"/>
    <w:multiLevelType w:val="hybridMultilevel"/>
    <w:tmpl w:val="E9D2B502"/>
    <w:lvl w:ilvl="0" w:tplc="8B9A075E">
      <w:start w:val="1"/>
      <w:numFmt w:val="decimal"/>
      <w:lvlText w:val="%1."/>
      <w:lvlJc w:val="left"/>
      <w:pPr>
        <w:ind w:left="720" w:hanging="360"/>
      </w:pPr>
    </w:lvl>
    <w:lvl w:ilvl="1" w:tplc="FCFCDBE6">
      <w:start w:val="1"/>
      <w:numFmt w:val="lowerLetter"/>
      <w:lvlText w:val="%2."/>
      <w:lvlJc w:val="left"/>
      <w:pPr>
        <w:ind w:left="1440" w:hanging="360"/>
      </w:pPr>
    </w:lvl>
    <w:lvl w:ilvl="2" w:tplc="7F08B2DA">
      <w:start w:val="1"/>
      <w:numFmt w:val="lowerRoman"/>
      <w:lvlText w:val="%3."/>
      <w:lvlJc w:val="right"/>
      <w:pPr>
        <w:ind w:left="2160" w:hanging="180"/>
      </w:pPr>
    </w:lvl>
    <w:lvl w:ilvl="3" w:tplc="E60E23F4">
      <w:start w:val="1"/>
      <w:numFmt w:val="decimal"/>
      <w:lvlText w:val="%4."/>
      <w:lvlJc w:val="left"/>
      <w:pPr>
        <w:ind w:left="2880" w:hanging="360"/>
      </w:pPr>
    </w:lvl>
    <w:lvl w:ilvl="4" w:tplc="B7EA0DFA">
      <w:start w:val="1"/>
      <w:numFmt w:val="lowerLetter"/>
      <w:lvlText w:val="%5."/>
      <w:lvlJc w:val="left"/>
      <w:pPr>
        <w:ind w:left="3600" w:hanging="360"/>
      </w:pPr>
    </w:lvl>
    <w:lvl w:ilvl="5" w:tplc="843A0E3C">
      <w:start w:val="1"/>
      <w:numFmt w:val="lowerRoman"/>
      <w:lvlText w:val="%6."/>
      <w:lvlJc w:val="right"/>
      <w:pPr>
        <w:ind w:left="4320" w:hanging="180"/>
      </w:pPr>
    </w:lvl>
    <w:lvl w:ilvl="6" w:tplc="6316A480">
      <w:start w:val="1"/>
      <w:numFmt w:val="decimal"/>
      <w:lvlText w:val="%7."/>
      <w:lvlJc w:val="left"/>
      <w:pPr>
        <w:ind w:left="5040" w:hanging="360"/>
      </w:pPr>
    </w:lvl>
    <w:lvl w:ilvl="7" w:tplc="343EB294">
      <w:start w:val="1"/>
      <w:numFmt w:val="lowerLetter"/>
      <w:lvlText w:val="%8."/>
      <w:lvlJc w:val="left"/>
      <w:pPr>
        <w:ind w:left="5760" w:hanging="360"/>
      </w:pPr>
    </w:lvl>
    <w:lvl w:ilvl="8" w:tplc="63180636">
      <w:start w:val="1"/>
      <w:numFmt w:val="lowerRoman"/>
      <w:lvlText w:val="%9."/>
      <w:lvlJc w:val="right"/>
      <w:pPr>
        <w:ind w:left="6480" w:hanging="180"/>
      </w:pPr>
    </w:lvl>
  </w:abstractNum>
  <w:abstractNum w:abstractNumId="26" w15:restartNumberingAfterBreak="0">
    <w:nsid w:val="30F443A4"/>
    <w:multiLevelType w:val="hybridMultilevel"/>
    <w:tmpl w:val="7E3A05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337EC21D"/>
    <w:multiLevelType w:val="hybridMultilevel"/>
    <w:tmpl w:val="31504FE2"/>
    <w:lvl w:ilvl="0" w:tplc="12ACA21E">
      <w:start w:val="1"/>
      <w:numFmt w:val="decimal"/>
      <w:lvlText w:val="%1."/>
      <w:lvlJc w:val="left"/>
      <w:pPr>
        <w:ind w:left="720" w:hanging="360"/>
      </w:pPr>
    </w:lvl>
    <w:lvl w:ilvl="1" w:tplc="DBFE5994">
      <w:start w:val="1"/>
      <w:numFmt w:val="lowerLetter"/>
      <w:lvlText w:val="%2."/>
      <w:lvlJc w:val="left"/>
      <w:pPr>
        <w:ind w:left="1440" w:hanging="360"/>
      </w:pPr>
    </w:lvl>
    <w:lvl w:ilvl="2" w:tplc="F888405C">
      <w:start w:val="1"/>
      <w:numFmt w:val="lowerRoman"/>
      <w:lvlText w:val="%3."/>
      <w:lvlJc w:val="right"/>
      <w:pPr>
        <w:ind w:left="2160" w:hanging="180"/>
      </w:pPr>
    </w:lvl>
    <w:lvl w:ilvl="3" w:tplc="76A4E688">
      <w:start w:val="1"/>
      <w:numFmt w:val="decimal"/>
      <w:lvlText w:val="%4."/>
      <w:lvlJc w:val="left"/>
      <w:pPr>
        <w:ind w:left="2880" w:hanging="360"/>
      </w:pPr>
    </w:lvl>
    <w:lvl w:ilvl="4" w:tplc="896212F0">
      <w:start w:val="1"/>
      <w:numFmt w:val="lowerLetter"/>
      <w:lvlText w:val="%5."/>
      <w:lvlJc w:val="left"/>
      <w:pPr>
        <w:ind w:left="3600" w:hanging="360"/>
      </w:pPr>
    </w:lvl>
    <w:lvl w:ilvl="5" w:tplc="FBE296D6">
      <w:start w:val="1"/>
      <w:numFmt w:val="lowerRoman"/>
      <w:lvlText w:val="%6."/>
      <w:lvlJc w:val="right"/>
      <w:pPr>
        <w:ind w:left="4320" w:hanging="180"/>
      </w:pPr>
    </w:lvl>
    <w:lvl w:ilvl="6" w:tplc="2EC222E0">
      <w:start w:val="1"/>
      <w:numFmt w:val="decimal"/>
      <w:lvlText w:val="%7."/>
      <w:lvlJc w:val="left"/>
      <w:pPr>
        <w:ind w:left="5040" w:hanging="360"/>
      </w:pPr>
    </w:lvl>
    <w:lvl w:ilvl="7" w:tplc="66EAB148">
      <w:start w:val="1"/>
      <w:numFmt w:val="lowerLetter"/>
      <w:lvlText w:val="%8."/>
      <w:lvlJc w:val="left"/>
      <w:pPr>
        <w:ind w:left="5760" w:hanging="360"/>
      </w:pPr>
    </w:lvl>
    <w:lvl w:ilvl="8" w:tplc="A4F01F16">
      <w:start w:val="1"/>
      <w:numFmt w:val="lowerRoman"/>
      <w:lvlText w:val="%9."/>
      <w:lvlJc w:val="right"/>
      <w:pPr>
        <w:ind w:left="6480" w:hanging="180"/>
      </w:pPr>
    </w:lvl>
  </w:abstractNum>
  <w:abstractNum w:abstractNumId="28" w15:restartNumberingAfterBreak="0">
    <w:nsid w:val="33D07567"/>
    <w:multiLevelType w:val="hybridMultilevel"/>
    <w:tmpl w:val="98E065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1DA120C"/>
    <w:multiLevelType w:val="multilevel"/>
    <w:tmpl w:val="0809001F"/>
    <w:lvl w:ilvl="0">
      <w:start w:val="1"/>
      <w:numFmt w:val="decimal"/>
      <w:lvlText w:val="%1."/>
      <w:lvlJc w:val="left"/>
      <w:pPr>
        <w:ind w:left="360" w:hanging="360"/>
      </w:pPr>
      <w:rPr>
        <w:rFonts w:hint="default"/>
        <w:b/>
        <w:bCs/>
        <w:spacing w:val="-1"/>
        <w:w w:val="100"/>
        <w:sz w:val="32"/>
        <w:szCs w:val="36"/>
        <w:lang w:val="en-GB" w:eastAsia="en-GB" w:bidi="en-GB"/>
      </w:rPr>
    </w:lvl>
    <w:lvl w:ilvl="1">
      <w:start w:val="1"/>
      <w:numFmt w:val="decimal"/>
      <w:lvlText w:val="%1.%2."/>
      <w:lvlJc w:val="left"/>
      <w:pPr>
        <w:ind w:left="792" w:hanging="432"/>
      </w:pPr>
      <w:rPr>
        <w:rFonts w:hint="default"/>
        <w:b/>
        <w:bCs/>
        <w:color w:val="60524E"/>
        <w:w w:val="100"/>
        <w:sz w:val="26"/>
        <w:szCs w:val="26"/>
        <w:lang w:val="en-GB" w:eastAsia="en-GB" w:bidi="en-GB"/>
      </w:rPr>
    </w:lvl>
    <w:lvl w:ilvl="2">
      <w:start w:val="1"/>
      <w:numFmt w:val="decimal"/>
      <w:lvlText w:val="%1.%2.%3."/>
      <w:lvlJc w:val="left"/>
      <w:pPr>
        <w:ind w:left="1224" w:hanging="504"/>
      </w:pPr>
      <w:rPr>
        <w:rFonts w:hint="default"/>
        <w:lang w:val="en-GB" w:eastAsia="en-GB" w:bidi="en-GB"/>
      </w:rPr>
    </w:lvl>
    <w:lvl w:ilvl="3">
      <w:start w:val="1"/>
      <w:numFmt w:val="decimal"/>
      <w:lvlText w:val="%1.%2.%3.%4."/>
      <w:lvlJc w:val="left"/>
      <w:pPr>
        <w:ind w:left="1728" w:hanging="648"/>
      </w:pPr>
      <w:rPr>
        <w:rFonts w:hint="default"/>
        <w:lang w:val="en-GB" w:eastAsia="en-GB" w:bidi="en-GB"/>
      </w:rPr>
    </w:lvl>
    <w:lvl w:ilvl="4">
      <w:start w:val="1"/>
      <w:numFmt w:val="decimal"/>
      <w:lvlText w:val="%1.%2.%3.%4.%5."/>
      <w:lvlJc w:val="left"/>
      <w:pPr>
        <w:ind w:left="2232" w:hanging="792"/>
      </w:pPr>
      <w:rPr>
        <w:rFonts w:hint="default"/>
        <w:lang w:val="en-GB" w:eastAsia="en-GB" w:bidi="en-GB"/>
      </w:rPr>
    </w:lvl>
    <w:lvl w:ilvl="5">
      <w:start w:val="1"/>
      <w:numFmt w:val="decimal"/>
      <w:lvlText w:val="%1.%2.%3.%4.%5.%6."/>
      <w:lvlJc w:val="left"/>
      <w:pPr>
        <w:ind w:left="2736" w:hanging="936"/>
      </w:pPr>
      <w:rPr>
        <w:rFonts w:hint="default"/>
        <w:lang w:val="en-GB" w:eastAsia="en-GB" w:bidi="en-GB"/>
      </w:rPr>
    </w:lvl>
    <w:lvl w:ilvl="6">
      <w:start w:val="1"/>
      <w:numFmt w:val="decimal"/>
      <w:lvlText w:val="%1.%2.%3.%4.%5.%6.%7."/>
      <w:lvlJc w:val="left"/>
      <w:pPr>
        <w:ind w:left="3240" w:hanging="1080"/>
      </w:pPr>
      <w:rPr>
        <w:rFonts w:hint="default"/>
        <w:lang w:val="en-GB" w:eastAsia="en-GB" w:bidi="en-GB"/>
      </w:rPr>
    </w:lvl>
    <w:lvl w:ilvl="7">
      <w:start w:val="1"/>
      <w:numFmt w:val="decimal"/>
      <w:lvlText w:val="%1.%2.%3.%4.%5.%6.%7.%8."/>
      <w:lvlJc w:val="left"/>
      <w:pPr>
        <w:ind w:left="3744" w:hanging="1224"/>
      </w:pPr>
      <w:rPr>
        <w:rFonts w:hint="default"/>
        <w:lang w:val="en-GB" w:eastAsia="en-GB" w:bidi="en-GB"/>
      </w:rPr>
    </w:lvl>
    <w:lvl w:ilvl="8">
      <w:start w:val="1"/>
      <w:numFmt w:val="decimal"/>
      <w:lvlText w:val="%1.%2.%3.%4.%5.%6.%7.%8.%9."/>
      <w:lvlJc w:val="left"/>
      <w:pPr>
        <w:ind w:left="4320" w:hanging="1440"/>
      </w:pPr>
      <w:rPr>
        <w:rFonts w:hint="default"/>
        <w:lang w:val="en-GB" w:eastAsia="en-GB" w:bidi="en-GB"/>
      </w:rPr>
    </w:lvl>
  </w:abstractNum>
  <w:abstractNum w:abstractNumId="30" w15:restartNumberingAfterBreak="0">
    <w:nsid w:val="43AB4124"/>
    <w:multiLevelType w:val="hybridMultilevel"/>
    <w:tmpl w:val="A67ECA64"/>
    <w:lvl w:ilvl="0" w:tplc="953EEC36">
      <w:start w:val="1"/>
      <w:numFmt w:val="decimal"/>
      <w:lvlText w:val="%1."/>
      <w:lvlJc w:val="left"/>
      <w:pPr>
        <w:ind w:left="170" w:hanging="1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8861075"/>
    <w:multiLevelType w:val="hybridMultilevel"/>
    <w:tmpl w:val="140C98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4BEC5E4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E665806"/>
    <w:multiLevelType w:val="hybridMultilevel"/>
    <w:tmpl w:val="4A3A2854"/>
    <w:lvl w:ilvl="0" w:tplc="FFFFFFFF">
      <w:start w:val="1"/>
      <w:numFmt w:val="bullet"/>
      <w:lvlText w:val=""/>
      <w:lvlJc w:val="left"/>
      <w:pPr>
        <w:ind w:left="216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520009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4969BE8"/>
    <w:multiLevelType w:val="hybridMultilevel"/>
    <w:tmpl w:val="7816768E"/>
    <w:lvl w:ilvl="0" w:tplc="A490C396">
      <w:start w:val="1"/>
      <w:numFmt w:val="decimal"/>
      <w:lvlText w:val="%1."/>
      <w:lvlJc w:val="left"/>
      <w:pPr>
        <w:ind w:left="720" w:hanging="360"/>
      </w:pPr>
    </w:lvl>
    <w:lvl w:ilvl="1" w:tplc="F1448170">
      <w:start w:val="1"/>
      <w:numFmt w:val="lowerLetter"/>
      <w:lvlText w:val="%2."/>
      <w:lvlJc w:val="left"/>
      <w:pPr>
        <w:ind w:left="1440" w:hanging="360"/>
      </w:pPr>
    </w:lvl>
    <w:lvl w:ilvl="2" w:tplc="4E0696AA">
      <w:start w:val="1"/>
      <w:numFmt w:val="lowerRoman"/>
      <w:lvlText w:val="%3."/>
      <w:lvlJc w:val="right"/>
      <w:pPr>
        <w:ind w:left="2160" w:hanging="180"/>
      </w:pPr>
    </w:lvl>
    <w:lvl w:ilvl="3" w:tplc="6A86392C">
      <w:start w:val="1"/>
      <w:numFmt w:val="decimal"/>
      <w:lvlText w:val="%4."/>
      <w:lvlJc w:val="left"/>
      <w:pPr>
        <w:ind w:left="2880" w:hanging="360"/>
      </w:pPr>
    </w:lvl>
    <w:lvl w:ilvl="4" w:tplc="D53CEF7A">
      <w:start w:val="1"/>
      <w:numFmt w:val="lowerLetter"/>
      <w:lvlText w:val="%5."/>
      <w:lvlJc w:val="left"/>
      <w:pPr>
        <w:ind w:left="3600" w:hanging="360"/>
      </w:pPr>
    </w:lvl>
    <w:lvl w:ilvl="5" w:tplc="D67A8D5A">
      <w:start w:val="1"/>
      <w:numFmt w:val="lowerRoman"/>
      <w:lvlText w:val="%6."/>
      <w:lvlJc w:val="right"/>
      <w:pPr>
        <w:ind w:left="4320" w:hanging="180"/>
      </w:pPr>
    </w:lvl>
    <w:lvl w:ilvl="6" w:tplc="4170B6B8">
      <w:start w:val="1"/>
      <w:numFmt w:val="decimal"/>
      <w:lvlText w:val="%7."/>
      <w:lvlJc w:val="left"/>
      <w:pPr>
        <w:ind w:left="5040" w:hanging="360"/>
      </w:pPr>
    </w:lvl>
    <w:lvl w:ilvl="7" w:tplc="5210B82C">
      <w:start w:val="1"/>
      <w:numFmt w:val="lowerLetter"/>
      <w:lvlText w:val="%8."/>
      <w:lvlJc w:val="left"/>
      <w:pPr>
        <w:ind w:left="5760" w:hanging="360"/>
      </w:pPr>
    </w:lvl>
    <w:lvl w:ilvl="8" w:tplc="FD94D442">
      <w:start w:val="1"/>
      <w:numFmt w:val="lowerRoman"/>
      <w:lvlText w:val="%9."/>
      <w:lvlJc w:val="right"/>
      <w:pPr>
        <w:ind w:left="6480" w:hanging="180"/>
      </w:pPr>
    </w:lvl>
  </w:abstractNum>
  <w:abstractNum w:abstractNumId="36" w15:restartNumberingAfterBreak="0">
    <w:nsid w:val="5E0E182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922F93"/>
    <w:multiLevelType w:val="hybridMultilevel"/>
    <w:tmpl w:val="B7CA793C"/>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8" w15:restartNumberingAfterBreak="0">
    <w:nsid w:val="60A13943"/>
    <w:multiLevelType w:val="hybridMultilevel"/>
    <w:tmpl w:val="FBBAA7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650967B6"/>
    <w:multiLevelType w:val="hybridMultilevel"/>
    <w:tmpl w:val="F9B40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8705B59"/>
    <w:multiLevelType w:val="multilevel"/>
    <w:tmpl w:val="6EBEE516"/>
    <w:lvl w:ilvl="0">
      <w:start w:val="1"/>
      <w:numFmt w:val="decimal"/>
      <w:lvlText w:val="%1."/>
      <w:lvlJc w:val="left"/>
      <w:pPr>
        <w:ind w:left="720" w:hanging="360"/>
      </w:pPr>
      <w:rPr>
        <w:rFonts w:hint="default"/>
      </w:rPr>
    </w:lvl>
    <w:lvl w:ilvl="1">
      <w:numFmt w:val="decimal"/>
      <w:isLgl/>
      <w:lvlText w:val="%1.%2"/>
      <w:lvlJc w:val="left"/>
      <w:pPr>
        <w:ind w:left="1080" w:hanging="720"/>
      </w:pPr>
      <w:rPr>
        <w:rFonts w:hint="default"/>
        <w:sz w:val="24"/>
        <w:szCs w:val="24"/>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1" w15:restartNumberingAfterBreak="0">
    <w:nsid w:val="6C1075DF"/>
    <w:multiLevelType w:val="hybridMultilevel"/>
    <w:tmpl w:val="68A4D6BC"/>
    <w:lvl w:ilvl="0" w:tplc="953EEC36">
      <w:start w:val="1"/>
      <w:numFmt w:val="decimal"/>
      <w:lvlText w:val="%1."/>
      <w:lvlJc w:val="left"/>
      <w:pPr>
        <w:ind w:left="170" w:hanging="1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EDA7680"/>
    <w:multiLevelType w:val="hybridMultilevel"/>
    <w:tmpl w:val="A8D22F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71BD379C"/>
    <w:multiLevelType w:val="hybridMultilevel"/>
    <w:tmpl w:val="3C5C00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20F7F73"/>
    <w:multiLevelType w:val="hybridMultilevel"/>
    <w:tmpl w:val="5D76034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77350668"/>
    <w:multiLevelType w:val="hybridMultilevel"/>
    <w:tmpl w:val="0442AE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77607629"/>
    <w:multiLevelType w:val="hybridMultilevel"/>
    <w:tmpl w:val="AD5EA0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7" w15:restartNumberingAfterBreak="0">
    <w:nsid w:val="789F32D0"/>
    <w:multiLevelType w:val="hybridMultilevel"/>
    <w:tmpl w:val="4524DC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51647638">
    <w:abstractNumId w:val="27"/>
  </w:num>
  <w:num w:numId="2" w16cid:durableId="1078938010">
    <w:abstractNumId w:val="15"/>
  </w:num>
  <w:num w:numId="3" w16cid:durableId="1159467288">
    <w:abstractNumId w:val="14"/>
  </w:num>
  <w:num w:numId="4" w16cid:durableId="1341926520">
    <w:abstractNumId w:val="16"/>
  </w:num>
  <w:num w:numId="5" w16cid:durableId="1093474210">
    <w:abstractNumId w:val="25"/>
  </w:num>
  <w:num w:numId="6" w16cid:durableId="1514803696">
    <w:abstractNumId w:val="35"/>
  </w:num>
  <w:num w:numId="7" w16cid:durableId="1953509832">
    <w:abstractNumId w:val="41"/>
  </w:num>
  <w:num w:numId="8" w16cid:durableId="2053966731">
    <w:abstractNumId w:val="30"/>
  </w:num>
  <w:num w:numId="9" w16cid:durableId="1163080985">
    <w:abstractNumId w:val="29"/>
  </w:num>
  <w:num w:numId="10" w16cid:durableId="1502164139">
    <w:abstractNumId w:val="31"/>
  </w:num>
  <w:num w:numId="11" w16cid:durableId="1490249270">
    <w:abstractNumId w:val="46"/>
  </w:num>
  <w:num w:numId="12" w16cid:durableId="1216501606">
    <w:abstractNumId w:val="20"/>
  </w:num>
  <w:num w:numId="13" w16cid:durableId="716592311">
    <w:abstractNumId w:val="28"/>
  </w:num>
  <w:num w:numId="14" w16cid:durableId="2133595523">
    <w:abstractNumId w:val="10"/>
  </w:num>
  <w:num w:numId="15" w16cid:durableId="132866134">
    <w:abstractNumId w:val="34"/>
  </w:num>
  <w:num w:numId="16" w16cid:durableId="483668618">
    <w:abstractNumId w:val="32"/>
  </w:num>
  <w:num w:numId="17" w16cid:durableId="227231830">
    <w:abstractNumId w:val="23"/>
  </w:num>
  <w:num w:numId="18" w16cid:durableId="1045643452">
    <w:abstractNumId w:val="17"/>
  </w:num>
  <w:num w:numId="19" w16cid:durableId="1411463688">
    <w:abstractNumId w:val="45"/>
  </w:num>
  <w:num w:numId="20" w16cid:durableId="255745643">
    <w:abstractNumId w:val="9"/>
  </w:num>
  <w:num w:numId="21" w16cid:durableId="1197623201">
    <w:abstractNumId w:val="7"/>
  </w:num>
  <w:num w:numId="22" w16cid:durableId="726147064">
    <w:abstractNumId w:val="6"/>
  </w:num>
  <w:num w:numId="23" w16cid:durableId="1717315106">
    <w:abstractNumId w:val="5"/>
  </w:num>
  <w:num w:numId="24" w16cid:durableId="2052029825">
    <w:abstractNumId w:val="4"/>
  </w:num>
  <w:num w:numId="25" w16cid:durableId="1479569206">
    <w:abstractNumId w:val="8"/>
  </w:num>
  <w:num w:numId="26" w16cid:durableId="20670266">
    <w:abstractNumId w:val="3"/>
  </w:num>
  <w:num w:numId="27" w16cid:durableId="659382085">
    <w:abstractNumId w:val="2"/>
  </w:num>
  <w:num w:numId="28" w16cid:durableId="2138178038">
    <w:abstractNumId w:val="1"/>
  </w:num>
  <w:num w:numId="29" w16cid:durableId="214003811">
    <w:abstractNumId w:val="0"/>
  </w:num>
  <w:num w:numId="30" w16cid:durableId="2132821914">
    <w:abstractNumId w:val="11"/>
  </w:num>
  <w:num w:numId="31" w16cid:durableId="832379413">
    <w:abstractNumId w:val="19"/>
  </w:num>
  <w:num w:numId="32" w16cid:durableId="1373142969">
    <w:abstractNumId w:val="38"/>
  </w:num>
  <w:num w:numId="33" w16cid:durableId="1607422626">
    <w:abstractNumId w:val="47"/>
  </w:num>
  <w:num w:numId="34" w16cid:durableId="98373216">
    <w:abstractNumId w:val="42"/>
  </w:num>
  <w:num w:numId="35" w16cid:durableId="36122499">
    <w:abstractNumId w:val="39"/>
  </w:num>
  <w:num w:numId="36" w16cid:durableId="1209222595">
    <w:abstractNumId w:val="36"/>
  </w:num>
  <w:num w:numId="37" w16cid:durableId="1938248211">
    <w:abstractNumId w:val="22"/>
  </w:num>
  <w:num w:numId="38" w16cid:durableId="2004815143">
    <w:abstractNumId w:val="24"/>
  </w:num>
  <w:num w:numId="39" w16cid:durableId="1761874412">
    <w:abstractNumId w:val="18"/>
  </w:num>
  <w:num w:numId="40" w16cid:durableId="784545364">
    <w:abstractNumId w:val="12"/>
  </w:num>
  <w:num w:numId="41" w16cid:durableId="89203582">
    <w:abstractNumId w:val="43"/>
  </w:num>
  <w:num w:numId="42" w16cid:durableId="443773896">
    <w:abstractNumId w:val="40"/>
  </w:num>
  <w:num w:numId="43" w16cid:durableId="2127265643">
    <w:abstractNumId w:val="37"/>
  </w:num>
  <w:num w:numId="44" w16cid:durableId="1891844000">
    <w:abstractNumId w:val="26"/>
  </w:num>
  <w:num w:numId="45" w16cid:durableId="908155237">
    <w:abstractNumId w:val="21"/>
  </w:num>
  <w:num w:numId="46" w16cid:durableId="1171796874">
    <w:abstractNumId w:val="44"/>
  </w:num>
  <w:num w:numId="47" w16cid:durableId="302855232">
    <w:abstractNumId w:val="13"/>
  </w:num>
  <w:num w:numId="48" w16cid:durableId="119067987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embedTrueTypeFonts/>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B03"/>
    <w:rsid w:val="00000E17"/>
    <w:rsid w:val="00011C78"/>
    <w:rsid w:val="00012C52"/>
    <w:rsid w:val="00015C51"/>
    <w:rsid w:val="0002043F"/>
    <w:rsid w:val="00034AC8"/>
    <w:rsid w:val="00045538"/>
    <w:rsid w:val="00053B03"/>
    <w:rsid w:val="00057257"/>
    <w:rsid w:val="00060153"/>
    <w:rsid w:val="00066AEB"/>
    <w:rsid w:val="00076591"/>
    <w:rsid w:val="000852DB"/>
    <w:rsid w:val="000B6A4A"/>
    <w:rsid w:val="000C03FD"/>
    <w:rsid w:val="000C7484"/>
    <w:rsid w:val="000E07B5"/>
    <w:rsid w:val="000E3C47"/>
    <w:rsid w:val="000F596C"/>
    <w:rsid w:val="00112623"/>
    <w:rsid w:val="00114BDA"/>
    <w:rsid w:val="00116E6F"/>
    <w:rsid w:val="001316B0"/>
    <w:rsid w:val="00136E51"/>
    <w:rsid w:val="001463F5"/>
    <w:rsid w:val="00171064"/>
    <w:rsid w:val="00182C04"/>
    <w:rsid w:val="001853FB"/>
    <w:rsid w:val="001918DD"/>
    <w:rsid w:val="001A1036"/>
    <w:rsid w:val="001B1DD5"/>
    <w:rsid w:val="001B2847"/>
    <w:rsid w:val="001B2CA3"/>
    <w:rsid w:val="001B2D2D"/>
    <w:rsid w:val="001B5D68"/>
    <w:rsid w:val="001C2513"/>
    <w:rsid w:val="001D3194"/>
    <w:rsid w:val="001D3F8F"/>
    <w:rsid w:val="001F4408"/>
    <w:rsid w:val="001F4775"/>
    <w:rsid w:val="002103E5"/>
    <w:rsid w:val="00210FF4"/>
    <w:rsid w:val="0021128C"/>
    <w:rsid w:val="002121EC"/>
    <w:rsid w:val="0022144B"/>
    <w:rsid w:val="0022221D"/>
    <w:rsid w:val="00225B86"/>
    <w:rsid w:val="0022741E"/>
    <w:rsid w:val="00234DC9"/>
    <w:rsid w:val="00244034"/>
    <w:rsid w:val="00257EB2"/>
    <w:rsid w:val="002811DB"/>
    <w:rsid w:val="00286558"/>
    <w:rsid w:val="002951F2"/>
    <w:rsid w:val="002A3FC8"/>
    <w:rsid w:val="002B1A06"/>
    <w:rsid w:val="002D2DCB"/>
    <w:rsid w:val="002E5EC3"/>
    <w:rsid w:val="002E6F78"/>
    <w:rsid w:val="0031683D"/>
    <w:rsid w:val="00317973"/>
    <w:rsid w:val="003212C1"/>
    <w:rsid w:val="00342CC8"/>
    <w:rsid w:val="00364290"/>
    <w:rsid w:val="00380365"/>
    <w:rsid w:val="0038376C"/>
    <w:rsid w:val="003859CE"/>
    <w:rsid w:val="0039155E"/>
    <w:rsid w:val="0039508E"/>
    <w:rsid w:val="003973C9"/>
    <w:rsid w:val="003C6880"/>
    <w:rsid w:val="003D3DCC"/>
    <w:rsid w:val="00401528"/>
    <w:rsid w:val="00404EAC"/>
    <w:rsid w:val="0040645D"/>
    <w:rsid w:val="0040653C"/>
    <w:rsid w:val="00421C66"/>
    <w:rsid w:val="00431671"/>
    <w:rsid w:val="00434CC6"/>
    <w:rsid w:val="0045410A"/>
    <w:rsid w:val="00457F04"/>
    <w:rsid w:val="00472746"/>
    <w:rsid w:val="00473CF1"/>
    <w:rsid w:val="00497A50"/>
    <w:rsid w:val="004A040A"/>
    <w:rsid w:val="004E4D5B"/>
    <w:rsid w:val="004E55DF"/>
    <w:rsid w:val="004F148B"/>
    <w:rsid w:val="004F7A4B"/>
    <w:rsid w:val="00505AE9"/>
    <w:rsid w:val="005102E9"/>
    <w:rsid w:val="00510B3E"/>
    <w:rsid w:val="00514D5C"/>
    <w:rsid w:val="00542CD4"/>
    <w:rsid w:val="00547F6D"/>
    <w:rsid w:val="00551B1B"/>
    <w:rsid w:val="005535C0"/>
    <w:rsid w:val="0055396F"/>
    <w:rsid w:val="0057398D"/>
    <w:rsid w:val="0058709D"/>
    <w:rsid w:val="005A06CF"/>
    <w:rsid w:val="005D38DB"/>
    <w:rsid w:val="005F3318"/>
    <w:rsid w:val="00601BAE"/>
    <w:rsid w:val="006037FA"/>
    <w:rsid w:val="00606A2A"/>
    <w:rsid w:val="00615462"/>
    <w:rsid w:val="006176EB"/>
    <w:rsid w:val="00626A86"/>
    <w:rsid w:val="00635A20"/>
    <w:rsid w:val="00636E7B"/>
    <w:rsid w:val="0063782A"/>
    <w:rsid w:val="00664F25"/>
    <w:rsid w:val="00671089"/>
    <w:rsid w:val="00671380"/>
    <w:rsid w:val="00683392"/>
    <w:rsid w:val="00693C6C"/>
    <w:rsid w:val="006A0E9E"/>
    <w:rsid w:val="006A1798"/>
    <w:rsid w:val="006A44C8"/>
    <w:rsid w:val="006B00E5"/>
    <w:rsid w:val="006B21CA"/>
    <w:rsid w:val="006C2642"/>
    <w:rsid w:val="006D04BB"/>
    <w:rsid w:val="006D1F34"/>
    <w:rsid w:val="006D2C60"/>
    <w:rsid w:val="006D552C"/>
    <w:rsid w:val="006E13A0"/>
    <w:rsid w:val="006E713C"/>
    <w:rsid w:val="006F106B"/>
    <w:rsid w:val="006F59CC"/>
    <w:rsid w:val="00707007"/>
    <w:rsid w:val="00713348"/>
    <w:rsid w:val="007138D0"/>
    <w:rsid w:val="00717DB6"/>
    <w:rsid w:val="00721301"/>
    <w:rsid w:val="00734515"/>
    <w:rsid w:val="0073777A"/>
    <w:rsid w:val="00745452"/>
    <w:rsid w:val="00745515"/>
    <w:rsid w:val="0075029C"/>
    <w:rsid w:val="00750AAD"/>
    <w:rsid w:val="0075657D"/>
    <w:rsid w:val="00761A35"/>
    <w:rsid w:val="00765819"/>
    <w:rsid w:val="00776069"/>
    <w:rsid w:val="007A7A78"/>
    <w:rsid w:val="007B216C"/>
    <w:rsid w:val="007B5856"/>
    <w:rsid w:val="007B6B6B"/>
    <w:rsid w:val="007C231E"/>
    <w:rsid w:val="007C65B7"/>
    <w:rsid w:val="007C6A15"/>
    <w:rsid w:val="007D33D9"/>
    <w:rsid w:val="007D4D58"/>
    <w:rsid w:val="007D53EE"/>
    <w:rsid w:val="007E06BD"/>
    <w:rsid w:val="007E0771"/>
    <w:rsid w:val="007F0C65"/>
    <w:rsid w:val="007F3509"/>
    <w:rsid w:val="00804A69"/>
    <w:rsid w:val="00826635"/>
    <w:rsid w:val="00844580"/>
    <w:rsid w:val="00846475"/>
    <w:rsid w:val="0084792E"/>
    <w:rsid w:val="00854F81"/>
    <w:rsid w:val="00857DDF"/>
    <w:rsid w:val="00865D3E"/>
    <w:rsid w:val="00893C93"/>
    <w:rsid w:val="00894882"/>
    <w:rsid w:val="008C7471"/>
    <w:rsid w:val="008D331F"/>
    <w:rsid w:val="008E1D12"/>
    <w:rsid w:val="008F3FC2"/>
    <w:rsid w:val="00914893"/>
    <w:rsid w:val="00920C15"/>
    <w:rsid w:val="009233D6"/>
    <w:rsid w:val="00923A80"/>
    <w:rsid w:val="00926F13"/>
    <w:rsid w:val="00937A6F"/>
    <w:rsid w:val="0094064B"/>
    <w:rsid w:val="00944772"/>
    <w:rsid w:val="00953866"/>
    <w:rsid w:val="00972C55"/>
    <w:rsid w:val="00975A34"/>
    <w:rsid w:val="00975E10"/>
    <w:rsid w:val="009809AB"/>
    <w:rsid w:val="00985194"/>
    <w:rsid w:val="009A070E"/>
    <w:rsid w:val="009B3451"/>
    <w:rsid w:val="009D0E48"/>
    <w:rsid w:val="009D1E4E"/>
    <w:rsid w:val="009D715D"/>
    <w:rsid w:val="009DD7AA"/>
    <w:rsid w:val="009E0F65"/>
    <w:rsid w:val="00A00538"/>
    <w:rsid w:val="00A13082"/>
    <w:rsid w:val="00A14662"/>
    <w:rsid w:val="00A216C1"/>
    <w:rsid w:val="00A230AB"/>
    <w:rsid w:val="00A24B7E"/>
    <w:rsid w:val="00A27CAC"/>
    <w:rsid w:val="00A33D0B"/>
    <w:rsid w:val="00A40451"/>
    <w:rsid w:val="00A434B9"/>
    <w:rsid w:val="00A44C34"/>
    <w:rsid w:val="00A56FF4"/>
    <w:rsid w:val="00A62048"/>
    <w:rsid w:val="00A6381C"/>
    <w:rsid w:val="00A64A56"/>
    <w:rsid w:val="00A65EC0"/>
    <w:rsid w:val="00A74911"/>
    <w:rsid w:val="00AA5B60"/>
    <w:rsid w:val="00AB03FE"/>
    <w:rsid w:val="00AB22A7"/>
    <w:rsid w:val="00AE12B2"/>
    <w:rsid w:val="00AF3B1F"/>
    <w:rsid w:val="00AF7992"/>
    <w:rsid w:val="00B10B26"/>
    <w:rsid w:val="00B12DDF"/>
    <w:rsid w:val="00B14576"/>
    <w:rsid w:val="00B14C41"/>
    <w:rsid w:val="00B24E95"/>
    <w:rsid w:val="00B26ED4"/>
    <w:rsid w:val="00B3246F"/>
    <w:rsid w:val="00B46B16"/>
    <w:rsid w:val="00B65794"/>
    <w:rsid w:val="00B67D98"/>
    <w:rsid w:val="00B70FF1"/>
    <w:rsid w:val="00BA2318"/>
    <w:rsid w:val="00BA4F90"/>
    <w:rsid w:val="00BA716F"/>
    <w:rsid w:val="00BB3D7B"/>
    <w:rsid w:val="00BB65F2"/>
    <w:rsid w:val="00BC0734"/>
    <w:rsid w:val="00BC229C"/>
    <w:rsid w:val="00BC5DA0"/>
    <w:rsid w:val="00BD0088"/>
    <w:rsid w:val="00BE367C"/>
    <w:rsid w:val="00BF259F"/>
    <w:rsid w:val="00C07327"/>
    <w:rsid w:val="00C134A7"/>
    <w:rsid w:val="00C21BA1"/>
    <w:rsid w:val="00C26704"/>
    <w:rsid w:val="00C2682A"/>
    <w:rsid w:val="00C41E33"/>
    <w:rsid w:val="00C43558"/>
    <w:rsid w:val="00C46C1C"/>
    <w:rsid w:val="00C506EC"/>
    <w:rsid w:val="00C65C05"/>
    <w:rsid w:val="00C81DD0"/>
    <w:rsid w:val="00CB3290"/>
    <w:rsid w:val="00CE545C"/>
    <w:rsid w:val="00CF30EC"/>
    <w:rsid w:val="00D03488"/>
    <w:rsid w:val="00D0652D"/>
    <w:rsid w:val="00D1490F"/>
    <w:rsid w:val="00D159CE"/>
    <w:rsid w:val="00D223C5"/>
    <w:rsid w:val="00D27FC6"/>
    <w:rsid w:val="00D35324"/>
    <w:rsid w:val="00D5126C"/>
    <w:rsid w:val="00D557C5"/>
    <w:rsid w:val="00D70882"/>
    <w:rsid w:val="00D708CE"/>
    <w:rsid w:val="00D8190C"/>
    <w:rsid w:val="00D83A09"/>
    <w:rsid w:val="00DB7F2B"/>
    <w:rsid w:val="00DC3A14"/>
    <w:rsid w:val="00DC3FBC"/>
    <w:rsid w:val="00DE6716"/>
    <w:rsid w:val="00DF342C"/>
    <w:rsid w:val="00E01501"/>
    <w:rsid w:val="00E0460B"/>
    <w:rsid w:val="00E0477D"/>
    <w:rsid w:val="00E06AC5"/>
    <w:rsid w:val="00E23262"/>
    <w:rsid w:val="00E25E9F"/>
    <w:rsid w:val="00E6428A"/>
    <w:rsid w:val="00E64C35"/>
    <w:rsid w:val="00E71850"/>
    <w:rsid w:val="00E82244"/>
    <w:rsid w:val="00E8321E"/>
    <w:rsid w:val="00E85944"/>
    <w:rsid w:val="00E971FC"/>
    <w:rsid w:val="00EA1927"/>
    <w:rsid w:val="00EB374A"/>
    <w:rsid w:val="00EB7629"/>
    <w:rsid w:val="00EC1869"/>
    <w:rsid w:val="00EC43A3"/>
    <w:rsid w:val="00ED11C7"/>
    <w:rsid w:val="00ED332F"/>
    <w:rsid w:val="00EE76BB"/>
    <w:rsid w:val="00EF4A7C"/>
    <w:rsid w:val="00F149CB"/>
    <w:rsid w:val="00F24FAF"/>
    <w:rsid w:val="00F2769F"/>
    <w:rsid w:val="00F34843"/>
    <w:rsid w:val="00F34BE9"/>
    <w:rsid w:val="00F4165D"/>
    <w:rsid w:val="00F52429"/>
    <w:rsid w:val="00F64AFC"/>
    <w:rsid w:val="00F740EE"/>
    <w:rsid w:val="00F90824"/>
    <w:rsid w:val="00F93F6B"/>
    <w:rsid w:val="00F94928"/>
    <w:rsid w:val="00FA2573"/>
    <w:rsid w:val="00FA58EA"/>
    <w:rsid w:val="00FA5BAC"/>
    <w:rsid w:val="00FB09B3"/>
    <w:rsid w:val="00FB1137"/>
    <w:rsid w:val="00FB391E"/>
    <w:rsid w:val="00FC65EE"/>
    <w:rsid w:val="00FD6B06"/>
    <w:rsid w:val="00FE4322"/>
    <w:rsid w:val="00FE6EE2"/>
    <w:rsid w:val="0210EFD3"/>
    <w:rsid w:val="0244BDDB"/>
    <w:rsid w:val="02B61CEB"/>
    <w:rsid w:val="03A12890"/>
    <w:rsid w:val="03F3D912"/>
    <w:rsid w:val="0451B902"/>
    <w:rsid w:val="04805F2D"/>
    <w:rsid w:val="04B0B3F0"/>
    <w:rsid w:val="04C29FC3"/>
    <w:rsid w:val="0544D231"/>
    <w:rsid w:val="054670A0"/>
    <w:rsid w:val="05855040"/>
    <w:rsid w:val="059C120D"/>
    <w:rsid w:val="05BF1B25"/>
    <w:rsid w:val="05D2ED7B"/>
    <w:rsid w:val="05DFE779"/>
    <w:rsid w:val="064412DA"/>
    <w:rsid w:val="06783964"/>
    <w:rsid w:val="083C3546"/>
    <w:rsid w:val="086885FA"/>
    <w:rsid w:val="08F6BA67"/>
    <w:rsid w:val="095827AB"/>
    <w:rsid w:val="09C7360C"/>
    <w:rsid w:val="0AC07677"/>
    <w:rsid w:val="0B264079"/>
    <w:rsid w:val="0B478A59"/>
    <w:rsid w:val="0B8320F3"/>
    <w:rsid w:val="0BD6EF67"/>
    <w:rsid w:val="0C9FE84E"/>
    <w:rsid w:val="0D3387C1"/>
    <w:rsid w:val="0D447E55"/>
    <w:rsid w:val="0DC0DDFF"/>
    <w:rsid w:val="0E5F478A"/>
    <w:rsid w:val="0F0889A3"/>
    <w:rsid w:val="0F87A7E8"/>
    <w:rsid w:val="0FF58A2E"/>
    <w:rsid w:val="100865F7"/>
    <w:rsid w:val="10162B13"/>
    <w:rsid w:val="101A4384"/>
    <w:rsid w:val="11047E44"/>
    <w:rsid w:val="11152F9B"/>
    <w:rsid w:val="1179EE89"/>
    <w:rsid w:val="11A2F091"/>
    <w:rsid w:val="12DD1849"/>
    <w:rsid w:val="12F170F8"/>
    <w:rsid w:val="13B0D047"/>
    <w:rsid w:val="14928438"/>
    <w:rsid w:val="14F99670"/>
    <w:rsid w:val="15CB0B05"/>
    <w:rsid w:val="16C52BB2"/>
    <w:rsid w:val="16EDED13"/>
    <w:rsid w:val="16F4C1A8"/>
    <w:rsid w:val="17363C5A"/>
    <w:rsid w:val="17AA3B1E"/>
    <w:rsid w:val="1848B9B6"/>
    <w:rsid w:val="188A2D34"/>
    <w:rsid w:val="18FCC727"/>
    <w:rsid w:val="1A40473D"/>
    <w:rsid w:val="1A516891"/>
    <w:rsid w:val="1B0F475A"/>
    <w:rsid w:val="1C2ADC10"/>
    <w:rsid w:val="1C9CC87C"/>
    <w:rsid w:val="1CBCF02C"/>
    <w:rsid w:val="1D03B4CB"/>
    <w:rsid w:val="1E5AEB69"/>
    <w:rsid w:val="1EC9BE8A"/>
    <w:rsid w:val="1ED915D5"/>
    <w:rsid w:val="1F0B9D4C"/>
    <w:rsid w:val="1F2351C8"/>
    <w:rsid w:val="1F38319A"/>
    <w:rsid w:val="1F404D68"/>
    <w:rsid w:val="1F45B806"/>
    <w:rsid w:val="202FE13E"/>
    <w:rsid w:val="223F7D2F"/>
    <w:rsid w:val="231FD9B5"/>
    <w:rsid w:val="24155983"/>
    <w:rsid w:val="24AB2062"/>
    <w:rsid w:val="24F31787"/>
    <w:rsid w:val="2508941F"/>
    <w:rsid w:val="255760EF"/>
    <w:rsid w:val="257D0271"/>
    <w:rsid w:val="2589CB05"/>
    <w:rsid w:val="26EEBEB0"/>
    <w:rsid w:val="27723F67"/>
    <w:rsid w:val="28839866"/>
    <w:rsid w:val="29E8428E"/>
    <w:rsid w:val="2A30E3C4"/>
    <w:rsid w:val="2AEE8778"/>
    <w:rsid w:val="2AFEE718"/>
    <w:rsid w:val="2B3870DA"/>
    <w:rsid w:val="2BA5E570"/>
    <w:rsid w:val="2D108FE7"/>
    <w:rsid w:val="2DDCF16B"/>
    <w:rsid w:val="2DF3A769"/>
    <w:rsid w:val="2E2CD21B"/>
    <w:rsid w:val="2E530FBF"/>
    <w:rsid w:val="2ED4A77D"/>
    <w:rsid w:val="2EE40552"/>
    <w:rsid w:val="2F4A3E58"/>
    <w:rsid w:val="30076E77"/>
    <w:rsid w:val="301C5B32"/>
    <w:rsid w:val="30DA406D"/>
    <w:rsid w:val="30E44DDB"/>
    <w:rsid w:val="315A0B47"/>
    <w:rsid w:val="318674BF"/>
    <w:rsid w:val="32127353"/>
    <w:rsid w:val="32225641"/>
    <w:rsid w:val="33A05215"/>
    <w:rsid w:val="33B10CBD"/>
    <w:rsid w:val="33E58244"/>
    <w:rsid w:val="341E1D37"/>
    <w:rsid w:val="349078EE"/>
    <w:rsid w:val="349A98CE"/>
    <w:rsid w:val="34E89841"/>
    <w:rsid w:val="350ACFDF"/>
    <w:rsid w:val="358B4C46"/>
    <w:rsid w:val="35AFD6A0"/>
    <w:rsid w:val="361DA4E1"/>
    <w:rsid w:val="3649DA13"/>
    <w:rsid w:val="36605962"/>
    <w:rsid w:val="369F5FDA"/>
    <w:rsid w:val="36CC4C50"/>
    <w:rsid w:val="372B7D25"/>
    <w:rsid w:val="37A9941D"/>
    <w:rsid w:val="383B7C02"/>
    <w:rsid w:val="391FBE40"/>
    <w:rsid w:val="3A08C744"/>
    <w:rsid w:val="3B136CC9"/>
    <w:rsid w:val="3BC91DAE"/>
    <w:rsid w:val="3C4FBF9B"/>
    <w:rsid w:val="3C7AC3D0"/>
    <w:rsid w:val="3CBFFFFB"/>
    <w:rsid w:val="3E1F8EDB"/>
    <w:rsid w:val="3E4D3379"/>
    <w:rsid w:val="3E5E8E2D"/>
    <w:rsid w:val="3F6432EA"/>
    <w:rsid w:val="3FA2E754"/>
    <w:rsid w:val="3FAE5FA5"/>
    <w:rsid w:val="3FF9C887"/>
    <w:rsid w:val="406C44EB"/>
    <w:rsid w:val="40D7C078"/>
    <w:rsid w:val="427FCAD6"/>
    <w:rsid w:val="43C68282"/>
    <w:rsid w:val="440C57CB"/>
    <w:rsid w:val="4427AC89"/>
    <w:rsid w:val="44B56FC1"/>
    <w:rsid w:val="451C5788"/>
    <w:rsid w:val="461CB71D"/>
    <w:rsid w:val="47E661A7"/>
    <w:rsid w:val="4815D998"/>
    <w:rsid w:val="498EA6C6"/>
    <w:rsid w:val="499AE70E"/>
    <w:rsid w:val="49C54FEC"/>
    <w:rsid w:val="4A2F6A0B"/>
    <w:rsid w:val="4BB13874"/>
    <w:rsid w:val="4C1E7471"/>
    <w:rsid w:val="4DE8DB76"/>
    <w:rsid w:val="4DEDA477"/>
    <w:rsid w:val="4EB82276"/>
    <w:rsid w:val="50CAE55A"/>
    <w:rsid w:val="51FD219A"/>
    <w:rsid w:val="529A934F"/>
    <w:rsid w:val="533522FF"/>
    <w:rsid w:val="5352B748"/>
    <w:rsid w:val="5352CF76"/>
    <w:rsid w:val="5364EDB0"/>
    <w:rsid w:val="538E4157"/>
    <w:rsid w:val="53F9E7A4"/>
    <w:rsid w:val="544EBFF3"/>
    <w:rsid w:val="5490974C"/>
    <w:rsid w:val="54BBA915"/>
    <w:rsid w:val="55456111"/>
    <w:rsid w:val="5554114B"/>
    <w:rsid w:val="5554D5BF"/>
    <w:rsid w:val="568A3558"/>
    <w:rsid w:val="569F1FC3"/>
    <w:rsid w:val="56B6D8A1"/>
    <w:rsid w:val="57BECA9B"/>
    <w:rsid w:val="5A59D7D5"/>
    <w:rsid w:val="5A84C984"/>
    <w:rsid w:val="5B3D7E33"/>
    <w:rsid w:val="5C65A09C"/>
    <w:rsid w:val="5CDFB98B"/>
    <w:rsid w:val="5F6D1EE8"/>
    <w:rsid w:val="5FCD838D"/>
    <w:rsid w:val="5FE0F229"/>
    <w:rsid w:val="60303D9A"/>
    <w:rsid w:val="61160D67"/>
    <w:rsid w:val="61455004"/>
    <w:rsid w:val="61C5DC63"/>
    <w:rsid w:val="61FCCC74"/>
    <w:rsid w:val="622B38CB"/>
    <w:rsid w:val="62C581F8"/>
    <w:rsid w:val="62C81D69"/>
    <w:rsid w:val="6303AAED"/>
    <w:rsid w:val="636837DA"/>
    <w:rsid w:val="63B1E5C2"/>
    <w:rsid w:val="6443518D"/>
    <w:rsid w:val="648752EB"/>
    <w:rsid w:val="655DDCFE"/>
    <w:rsid w:val="65FE44AF"/>
    <w:rsid w:val="66038932"/>
    <w:rsid w:val="66135721"/>
    <w:rsid w:val="66F3CF0E"/>
    <w:rsid w:val="684BC721"/>
    <w:rsid w:val="686535F1"/>
    <w:rsid w:val="6899BBF4"/>
    <w:rsid w:val="69AF0970"/>
    <w:rsid w:val="69E5FD66"/>
    <w:rsid w:val="6A474C52"/>
    <w:rsid w:val="6C44EA06"/>
    <w:rsid w:val="6C5B2239"/>
    <w:rsid w:val="6CC3D263"/>
    <w:rsid w:val="6CD58DEA"/>
    <w:rsid w:val="6D75E043"/>
    <w:rsid w:val="6E6DE770"/>
    <w:rsid w:val="6F065431"/>
    <w:rsid w:val="6F909C72"/>
    <w:rsid w:val="703E392D"/>
    <w:rsid w:val="70EF431F"/>
    <w:rsid w:val="710BB316"/>
    <w:rsid w:val="714A68D0"/>
    <w:rsid w:val="71610C34"/>
    <w:rsid w:val="716E6DF8"/>
    <w:rsid w:val="71DA5287"/>
    <w:rsid w:val="71FD5477"/>
    <w:rsid w:val="72BA2A22"/>
    <w:rsid w:val="73225A02"/>
    <w:rsid w:val="735D740E"/>
    <w:rsid w:val="743C10FA"/>
    <w:rsid w:val="744FD95D"/>
    <w:rsid w:val="7526D7FD"/>
    <w:rsid w:val="75B86B8B"/>
    <w:rsid w:val="76E1E512"/>
    <w:rsid w:val="7751267C"/>
    <w:rsid w:val="775C7B4B"/>
    <w:rsid w:val="778F7FD7"/>
    <w:rsid w:val="78175466"/>
    <w:rsid w:val="781FDD82"/>
    <w:rsid w:val="7B3B3751"/>
    <w:rsid w:val="7C04952F"/>
    <w:rsid w:val="7C1B62DA"/>
    <w:rsid w:val="7C790765"/>
    <w:rsid w:val="7CE9FD88"/>
    <w:rsid w:val="7D628E26"/>
    <w:rsid w:val="7DEC6CDC"/>
    <w:rsid w:val="7E0281A9"/>
    <w:rsid w:val="7E63C3C4"/>
    <w:rsid w:val="7EBC363B"/>
    <w:rsid w:val="7ED4F3DB"/>
    <w:rsid w:val="7F2D155E"/>
    <w:rsid w:val="7FC548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979FB"/>
  <w15:chartTrackingRefBased/>
  <w15:docId w15:val="{CBB94D3A-8DB4-41E2-8AC8-0FE6575C4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lsdException w:name="heading 4" w:uiPriority="9" w:semiHidden="1" w:unhideWhenUsed="1" w:qFormat="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3782A"/>
    <w:rPr>
      <w:rFonts w:ascii="Verdana" w:hAnsi="Verdana"/>
      <w:color w:val="000000" w:themeColor="text1"/>
      <w:sz w:val="22"/>
    </w:rPr>
  </w:style>
  <w:style w:type="paragraph" w:styleId="Heading1">
    <w:name w:val="heading 1"/>
    <w:basedOn w:val="Normal"/>
    <w:next w:val="Normal"/>
    <w:link w:val="Heading1Char"/>
    <w:uiPriority w:val="9"/>
    <w:qFormat/>
    <w:rsid w:val="00112623"/>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112623"/>
    <w:pPr>
      <w:keepNext/>
      <w:keepLines/>
      <w:spacing w:before="40"/>
      <w:outlineLvl w:val="1"/>
    </w:pPr>
    <w:rPr>
      <w:rFonts w:eastAsiaTheme="majorEastAsia" w:cstheme="majorBidi"/>
      <w:b/>
      <w:sz w:val="24"/>
      <w:szCs w:val="26"/>
    </w:rPr>
  </w:style>
  <w:style w:type="paragraph" w:styleId="Heading3">
    <w:name w:val="heading 3"/>
    <w:basedOn w:val="Normal"/>
    <w:next w:val="Normal"/>
    <w:link w:val="Heading3Char"/>
    <w:uiPriority w:val="9"/>
    <w:unhideWhenUsed/>
    <w:rsid w:val="00B70FF1"/>
    <w:pPr>
      <w:keepNext/>
      <w:keepLines/>
      <w:spacing w:before="40"/>
      <w:outlineLvl w:val="2"/>
    </w:pPr>
    <w:rPr>
      <w:rFonts w:eastAsiaTheme="majorEastAsia" w:cstheme="majorBidi"/>
      <w:b/>
      <w:sz w:val="24"/>
    </w:rPr>
  </w:style>
  <w:style w:type="paragraph" w:styleId="Heading4">
    <w:name w:val="heading 4"/>
    <w:basedOn w:val="Normal"/>
    <w:next w:val="Normal"/>
    <w:link w:val="Heading4Char"/>
    <w:uiPriority w:val="9"/>
    <w:unhideWhenUsed/>
    <w:qFormat/>
    <w:rsid w:val="00B14576"/>
    <w:pPr>
      <w:keepNext/>
      <w:keepLines/>
      <w:spacing w:before="40"/>
      <w:outlineLvl w:val="3"/>
    </w:pPr>
    <w:rPr>
      <w:rFonts w:eastAsiaTheme="majorEastAsia" w:cstheme="majorBidi"/>
      <w:b/>
      <w:iCs/>
    </w:rPr>
  </w:style>
  <w:style w:type="paragraph" w:styleId="Heading5">
    <w:name w:val="heading 5"/>
    <w:basedOn w:val="Normal"/>
    <w:next w:val="Normal"/>
    <w:link w:val="Heading5Char"/>
    <w:uiPriority w:val="9"/>
    <w:unhideWhenUsed/>
    <w:rsid w:val="00B14576"/>
    <w:pPr>
      <w:keepNext/>
      <w:keepLines/>
      <w:spacing w:before="4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unhideWhenUsed/>
    <w:rsid w:val="00B14576"/>
    <w:pPr>
      <w:keepNext/>
      <w:keepLines/>
      <w:spacing w:before="4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uiPriority w:val="9"/>
    <w:unhideWhenUsed/>
    <w:rsid w:val="00B14576"/>
    <w:pPr>
      <w:keepNext/>
      <w:keepLines/>
      <w:spacing w:before="4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unhideWhenUsed/>
    <w:rsid w:val="00B14576"/>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unhideWhenUsed/>
    <w:rsid w:val="00B14576"/>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5F3318"/>
    <w:pPr>
      <w:tabs>
        <w:tab w:val="center" w:pos="4513"/>
        <w:tab w:val="right" w:pos="9026"/>
      </w:tabs>
    </w:pPr>
  </w:style>
  <w:style w:type="character" w:styleId="HeaderChar" w:customStyle="1">
    <w:name w:val="Header Char"/>
    <w:basedOn w:val="DefaultParagraphFont"/>
    <w:link w:val="Header"/>
    <w:uiPriority w:val="99"/>
    <w:rsid w:val="005F3318"/>
  </w:style>
  <w:style w:type="paragraph" w:styleId="Footer">
    <w:name w:val="footer"/>
    <w:basedOn w:val="Normal"/>
    <w:link w:val="FooterChar"/>
    <w:uiPriority w:val="99"/>
    <w:unhideWhenUsed/>
    <w:rsid w:val="005F3318"/>
    <w:pPr>
      <w:tabs>
        <w:tab w:val="center" w:pos="4513"/>
        <w:tab w:val="right" w:pos="9026"/>
      </w:tabs>
    </w:pPr>
  </w:style>
  <w:style w:type="character" w:styleId="FooterChar" w:customStyle="1">
    <w:name w:val="Footer Char"/>
    <w:basedOn w:val="DefaultParagraphFont"/>
    <w:link w:val="Footer"/>
    <w:uiPriority w:val="99"/>
    <w:rsid w:val="005F3318"/>
  </w:style>
  <w:style w:type="paragraph" w:styleId="NoSpacing">
    <w:name w:val="No Spacing"/>
    <w:link w:val="NoSpacingChar"/>
    <w:uiPriority w:val="1"/>
    <w:rsid w:val="00636E7B"/>
    <w:rPr>
      <w:rFonts w:eastAsiaTheme="minorEastAsia"/>
      <w:sz w:val="22"/>
      <w:szCs w:val="22"/>
      <w:lang w:val="en-US" w:eastAsia="zh-CN"/>
    </w:rPr>
  </w:style>
  <w:style w:type="character" w:styleId="NoSpacingChar" w:customStyle="1">
    <w:name w:val="No Spacing Char"/>
    <w:basedOn w:val="DefaultParagraphFont"/>
    <w:link w:val="NoSpacing"/>
    <w:uiPriority w:val="1"/>
    <w:rsid w:val="00636E7B"/>
    <w:rPr>
      <w:rFonts w:eastAsiaTheme="minorEastAsia"/>
      <w:sz w:val="22"/>
      <w:szCs w:val="22"/>
      <w:lang w:val="en-US" w:eastAsia="zh-CN"/>
    </w:rPr>
  </w:style>
  <w:style w:type="table" w:styleId="TableGrid">
    <w:name w:val="Table Grid"/>
    <w:basedOn w:val="TableNormal"/>
    <w:uiPriority w:val="39"/>
    <w:rsid w:val="007E06B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112623"/>
    <w:rPr>
      <w:rFonts w:ascii="Verdana" w:hAnsi="Verdana" w:eastAsiaTheme="majorEastAsia" w:cstheme="majorBidi"/>
      <w:b/>
      <w:color w:val="000000" w:themeColor="text1"/>
      <w:sz w:val="32"/>
      <w:szCs w:val="32"/>
    </w:rPr>
  </w:style>
  <w:style w:type="paragraph" w:styleId="ListParagraph">
    <w:name w:val="List Paragraph"/>
    <w:basedOn w:val="Normal"/>
    <w:link w:val="ListParagraphChar"/>
    <w:uiPriority w:val="34"/>
    <w:qFormat/>
    <w:rsid w:val="006C2642"/>
    <w:pPr>
      <w:ind w:left="720"/>
      <w:contextualSpacing/>
    </w:pPr>
  </w:style>
  <w:style w:type="paragraph" w:styleId="NoParagraphStyle" w:customStyle="1">
    <w:name w:val="[No Paragraph Style]"/>
    <w:rsid w:val="00734515"/>
    <w:pPr>
      <w:autoSpaceDE w:val="0"/>
      <w:autoSpaceDN w:val="0"/>
      <w:adjustRightInd w:val="0"/>
      <w:spacing w:line="288" w:lineRule="auto"/>
      <w:textAlignment w:val="center"/>
    </w:pPr>
    <w:rPr>
      <w:rFonts w:ascii="Minion Pro" w:hAnsi="Minion Pro" w:cs="Minion Pro"/>
      <w:color w:val="000000"/>
    </w:rPr>
  </w:style>
  <w:style w:type="character" w:styleId="PageNumber">
    <w:name w:val="page number"/>
    <w:uiPriority w:val="99"/>
    <w:rsid w:val="00734515"/>
    <w:rPr>
      <w:rFonts w:cs="Poppins"/>
      <w:color w:val="433C3E"/>
      <w:sz w:val="20"/>
      <w:szCs w:val="20"/>
    </w:rPr>
  </w:style>
  <w:style w:type="paragraph" w:styleId="TOCHeading">
    <w:name w:val="TOC Heading"/>
    <w:basedOn w:val="Heading1"/>
    <w:next w:val="Normal"/>
    <w:uiPriority w:val="39"/>
    <w:unhideWhenUsed/>
    <w:rsid w:val="006F106B"/>
    <w:pPr>
      <w:spacing w:before="480" w:line="276" w:lineRule="auto"/>
      <w:outlineLvl w:val="9"/>
    </w:pPr>
    <w:rPr>
      <w:bCs/>
      <w:color w:val="2F5496" w:themeColor="accent1" w:themeShade="BF"/>
      <w:sz w:val="28"/>
      <w:szCs w:val="28"/>
      <w:lang w:val="en-US"/>
    </w:rPr>
  </w:style>
  <w:style w:type="paragraph" w:styleId="TOC1">
    <w:name w:val="toc 1"/>
    <w:basedOn w:val="Normal"/>
    <w:next w:val="Normal"/>
    <w:autoRedefine/>
    <w:uiPriority w:val="39"/>
    <w:unhideWhenUsed/>
    <w:rsid w:val="00A24B7E"/>
    <w:pPr>
      <w:spacing w:before="120"/>
    </w:pPr>
    <w:rPr>
      <w:rFonts w:cstheme="minorHAnsi"/>
      <w:bCs/>
      <w:iCs/>
    </w:rPr>
  </w:style>
  <w:style w:type="character" w:styleId="Hyperlink">
    <w:name w:val="Hyperlink"/>
    <w:basedOn w:val="DefaultParagraphFont"/>
    <w:uiPriority w:val="99"/>
    <w:unhideWhenUsed/>
    <w:rsid w:val="00734515"/>
    <w:rPr>
      <w:color w:val="0563C1" w:themeColor="hyperlink"/>
      <w:u w:val="single"/>
    </w:rPr>
  </w:style>
  <w:style w:type="paragraph" w:styleId="TOC2">
    <w:name w:val="toc 2"/>
    <w:basedOn w:val="Normal"/>
    <w:next w:val="Normal"/>
    <w:autoRedefine/>
    <w:uiPriority w:val="39"/>
    <w:unhideWhenUsed/>
    <w:rsid w:val="00A44C34"/>
    <w:pPr>
      <w:spacing w:before="120"/>
      <w:ind w:left="240"/>
    </w:pPr>
    <w:rPr>
      <w:rFonts w:asciiTheme="minorHAnsi" w:hAnsiTheme="minorHAnsi" w:cstheme="minorHAnsi"/>
      <w:b/>
      <w:bCs/>
      <w:szCs w:val="22"/>
    </w:rPr>
  </w:style>
  <w:style w:type="paragraph" w:styleId="TOC3">
    <w:name w:val="toc 3"/>
    <w:basedOn w:val="Normal"/>
    <w:next w:val="Normal"/>
    <w:autoRedefine/>
    <w:uiPriority w:val="39"/>
    <w:semiHidden/>
    <w:unhideWhenUsed/>
    <w:rsid w:val="00A44C34"/>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A44C34"/>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A44C34"/>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A44C34"/>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A44C34"/>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A44C34"/>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A44C34"/>
    <w:pPr>
      <w:ind w:left="1920"/>
    </w:pPr>
    <w:rPr>
      <w:rFonts w:asciiTheme="minorHAnsi" w:hAnsiTheme="minorHAnsi" w:cstheme="minorHAnsi"/>
      <w:sz w:val="20"/>
      <w:szCs w:val="20"/>
    </w:rPr>
  </w:style>
  <w:style w:type="character" w:styleId="Heading2Char" w:customStyle="1">
    <w:name w:val="Heading 2 Char"/>
    <w:basedOn w:val="DefaultParagraphFont"/>
    <w:link w:val="Heading2"/>
    <w:uiPriority w:val="9"/>
    <w:rsid w:val="00112623"/>
    <w:rPr>
      <w:rFonts w:ascii="Verdana" w:hAnsi="Verdana" w:eastAsiaTheme="majorEastAsia" w:cstheme="majorBidi"/>
      <w:b/>
      <w:color w:val="000000" w:themeColor="text1"/>
      <w:szCs w:val="26"/>
    </w:rPr>
  </w:style>
  <w:style w:type="character" w:styleId="Heading3Char" w:customStyle="1">
    <w:name w:val="Heading 3 Char"/>
    <w:basedOn w:val="DefaultParagraphFont"/>
    <w:link w:val="Heading3"/>
    <w:uiPriority w:val="9"/>
    <w:rsid w:val="00B70FF1"/>
    <w:rPr>
      <w:rFonts w:ascii="Verdana" w:hAnsi="Verdana" w:eastAsiaTheme="majorEastAsia" w:cstheme="majorBidi"/>
      <w:b/>
      <w:color w:val="000000" w:themeColor="text1"/>
    </w:rPr>
  </w:style>
  <w:style w:type="character" w:styleId="UnresolvedMention">
    <w:name w:val="Unresolved Mention"/>
    <w:basedOn w:val="DefaultParagraphFont"/>
    <w:uiPriority w:val="99"/>
    <w:semiHidden/>
    <w:unhideWhenUsed/>
    <w:rsid w:val="00C26704"/>
    <w:rPr>
      <w:color w:val="605E5C"/>
      <w:shd w:val="clear" w:color="auto" w:fill="E1DFDD"/>
    </w:rPr>
  </w:style>
  <w:style w:type="character" w:styleId="FollowedHyperlink">
    <w:name w:val="FollowedHyperlink"/>
    <w:basedOn w:val="DefaultParagraphFont"/>
    <w:uiPriority w:val="99"/>
    <w:semiHidden/>
    <w:unhideWhenUsed/>
    <w:rsid w:val="00C26704"/>
    <w:rPr>
      <w:color w:val="954F72" w:themeColor="followedHyperlink"/>
      <w:u w:val="single"/>
    </w:rPr>
  </w:style>
  <w:style w:type="table" w:styleId="ListTable4">
    <w:name w:val="List Table 4"/>
    <w:basedOn w:val="TableNormal"/>
    <w:uiPriority w:val="49"/>
    <w:rsid w:val="00B46B16"/>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0" w:customStyle="1">
    <w:name w:val="A0"/>
    <w:uiPriority w:val="99"/>
    <w:rsid w:val="00A65EC0"/>
    <w:rPr>
      <w:rFonts w:cs="Verdana"/>
      <w:color w:val="ED135A"/>
      <w:sz w:val="110"/>
      <w:szCs w:val="110"/>
    </w:rPr>
  </w:style>
  <w:style w:type="paragraph" w:styleId="TableParagraph" w:customStyle="1">
    <w:name w:val="Table Paragraph"/>
    <w:basedOn w:val="Normal"/>
    <w:uiPriority w:val="1"/>
    <w:rsid w:val="005D38DB"/>
    <w:pPr>
      <w:autoSpaceDE w:val="0"/>
      <w:autoSpaceDN w:val="0"/>
      <w:ind w:left="107"/>
    </w:pPr>
    <w:rPr>
      <w:rFonts w:ascii="Arial" w:hAnsi="Arial" w:cs="Arial"/>
      <w:color w:val="auto"/>
      <w:szCs w:val="22"/>
    </w:rPr>
  </w:style>
  <w:style w:type="paragraph" w:styleId="Default" w:customStyle="1">
    <w:name w:val="Default"/>
    <w:rsid w:val="00BC0734"/>
    <w:pPr>
      <w:autoSpaceDE w:val="0"/>
      <w:autoSpaceDN w:val="0"/>
      <w:adjustRightInd w:val="0"/>
    </w:pPr>
    <w:rPr>
      <w:rFonts w:ascii="Calibri" w:hAnsi="Calibri" w:cs="Calibri"/>
      <w:color w:val="000000"/>
    </w:rPr>
  </w:style>
  <w:style w:type="paragraph" w:styleId="Title">
    <w:name w:val="Title"/>
    <w:basedOn w:val="Normal"/>
    <w:next w:val="Normal"/>
    <w:link w:val="TitleChar"/>
    <w:uiPriority w:val="10"/>
    <w:qFormat/>
    <w:rsid w:val="00112623"/>
    <w:pPr>
      <w:contextualSpacing/>
    </w:pPr>
    <w:rPr>
      <w:rFonts w:eastAsiaTheme="majorEastAsia" w:cstheme="majorBidi"/>
      <w:b/>
      <w:color w:val="auto"/>
      <w:spacing w:val="-10"/>
      <w:kern w:val="28"/>
      <w:sz w:val="44"/>
      <w:szCs w:val="56"/>
    </w:rPr>
  </w:style>
  <w:style w:type="character" w:styleId="TitleChar" w:customStyle="1">
    <w:name w:val="Title Char"/>
    <w:basedOn w:val="DefaultParagraphFont"/>
    <w:link w:val="Title"/>
    <w:uiPriority w:val="10"/>
    <w:rsid w:val="00112623"/>
    <w:rPr>
      <w:rFonts w:ascii="Verdana" w:hAnsi="Verdana" w:eastAsiaTheme="majorEastAsia" w:cstheme="majorBidi"/>
      <w:b/>
      <w:spacing w:val="-10"/>
      <w:kern w:val="28"/>
      <w:sz w:val="44"/>
      <w:szCs w:val="56"/>
    </w:rPr>
  </w:style>
  <w:style w:type="paragraph" w:styleId="Subtitle">
    <w:name w:val="Subtitle"/>
    <w:basedOn w:val="Normal"/>
    <w:next w:val="Normal"/>
    <w:link w:val="SubtitleChar"/>
    <w:uiPriority w:val="11"/>
    <w:qFormat/>
    <w:rsid w:val="00B14576"/>
    <w:pPr>
      <w:numPr>
        <w:ilvl w:val="1"/>
      </w:numPr>
      <w:spacing w:after="160"/>
    </w:pPr>
    <w:rPr>
      <w:rFonts w:eastAsiaTheme="minorEastAsia"/>
      <w:b/>
      <w:spacing w:val="15"/>
      <w:szCs w:val="22"/>
    </w:rPr>
  </w:style>
  <w:style w:type="character" w:styleId="SubtitleChar" w:customStyle="1">
    <w:name w:val="Subtitle Char"/>
    <w:basedOn w:val="DefaultParagraphFont"/>
    <w:link w:val="Subtitle"/>
    <w:uiPriority w:val="11"/>
    <w:rsid w:val="00B14576"/>
    <w:rPr>
      <w:rFonts w:ascii="Verdana" w:hAnsi="Verdana" w:eastAsiaTheme="minorEastAsia"/>
      <w:b/>
      <w:color w:val="000000" w:themeColor="text1"/>
      <w:spacing w:val="15"/>
      <w:sz w:val="22"/>
      <w:szCs w:val="22"/>
    </w:rPr>
  </w:style>
  <w:style w:type="character" w:styleId="SubtleEmphasis">
    <w:name w:val="Subtle Emphasis"/>
    <w:basedOn w:val="DefaultParagraphFont"/>
    <w:uiPriority w:val="19"/>
    <w:qFormat/>
    <w:rsid w:val="00B14576"/>
    <w:rPr>
      <w:rFonts w:ascii="Verdana" w:hAnsi="Verdana"/>
      <w:i/>
      <w:iCs/>
      <w:color w:val="404040" w:themeColor="text1" w:themeTint="BF"/>
      <w:sz w:val="22"/>
    </w:rPr>
  </w:style>
  <w:style w:type="character" w:styleId="Emphasis">
    <w:name w:val="Emphasis"/>
    <w:basedOn w:val="DefaultParagraphFont"/>
    <w:uiPriority w:val="20"/>
    <w:qFormat/>
    <w:rsid w:val="006F106B"/>
    <w:rPr>
      <w:i/>
      <w:iCs/>
    </w:rPr>
  </w:style>
  <w:style w:type="paragraph" w:styleId="RegendaGroup" w:customStyle="1">
    <w:name w:val="Regenda Group"/>
    <w:basedOn w:val="ListParagraph"/>
    <w:link w:val="RegendaGroupChar"/>
    <w:rsid w:val="006F106B"/>
  </w:style>
  <w:style w:type="character" w:styleId="BookTitle">
    <w:name w:val="Book Title"/>
    <w:basedOn w:val="DefaultParagraphFont"/>
    <w:uiPriority w:val="33"/>
    <w:qFormat/>
    <w:rsid w:val="00B14576"/>
    <w:rPr>
      <w:rFonts w:ascii="Verdana" w:hAnsi="Verdana"/>
      <w:b/>
      <w:bCs/>
      <w:i/>
      <w:iCs/>
      <w:spacing w:val="5"/>
      <w:sz w:val="22"/>
    </w:rPr>
  </w:style>
  <w:style w:type="character" w:styleId="ListParagraphChar" w:customStyle="1">
    <w:name w:val="List Paragraph Char"/>
    <w:basedOn w:val="DefaultParagraphFont"/>
    <w:link w:val="ListParagraph"/>
    <w:uiPriority w:val="34"/>
    <w:rsid w:val="006F106B"/>
    <w:rPr>
      <w:rFonts w:ascii="Verdana" w:hAnsi="Verdana"/>
      <w:color w:val="433D3F"/>
      <w:sz w:val="22"/>
    </w:rPr>
  </w:style>
  <w:style w:type="character" w:styleId="RegendaGroupChar" w:customStyle="1">
    <w:name w:val="Regenda Group Char"/>
    <w:basedOn w:val="ListParagraphChar"/>
    <w:link w:val="RegendaGroup"/>
    <w:rsid w:val="006F106B"/>
    <w:rPr>
      <w:rFonts w:ascii="Verdana" w:hAnsi="Verdana"/>
      <w:color w:val="433D3F"/>
      <w:sz w:val="22"/>
    </w:rPr>
  </w:style>
  <w:style w:type="character" w:styleId="IntenseReference">
    <w:name w:val="Intense Reference"/>
    <w:basedOn w:val="DefaultParagraphFont"/>
    <w:uiPriority w:val="32"/>
    <w:qFormat/>
    <w:rsid w:val="00B14576"/>
    <w:rPr>
      <w:rFonts w:ascii="Verdana" w:hAnsi="Verdana"/>
      <w:b/>
      <w:bCs/>
      <w:smallCaps/>
      <w:color w:val="auto"/>
      <w:spacing w:val="5"/>
      <w:sz w:val="16"/>
    </w:rPr>
  </w:style>
  <w:style w:type="character" w:styleId="SubtleReference">
    <w:name w:val="Subtle Reference"/>
    <w:basedOn w:val="DefaultParagraphFont"/>
    <w:uiPriority w:val="31"/>
    <w:qFormat/>
    <w:rsid w:val="00B14576"/>
    <w:rPr>
      <w:rFonts w:ascii="Verdana" w:hAnsi="Verdana"/>
      <w:smallCaps/>
      <w:color w:val="5A5A5A" w:themeColor="text1" w:themeTint="A5"/>
      <w:sz w:val="16"/>
    </w:rPr>
  </w:style>
  <w:style w:type="paragraph" w:styleId="Quote">
    <w:name w:val="Quote"/>
    <w:basedOn w:val="Normal"/>
    <w:next w:val="Normal"/>
    <w:link w:val="QuoteChar"/>
    <w:uiPriority w:val="29"/>
    <w:qFormat/>
    <w:rsid w:val="00B14576"/>
    <w:pPr>
      <w:spacing w:before="200" w:after="160"/>
      <w:ind w:left="864" w:right="864"/>
      <w:jc w:val="center"/>
    </w:pPr>
    <w:rPr>
      <w:i/>
      <w:iCs/>
      <w:color w:val="404040" w:themeColor="text1" w:themeTint="BF"/>
    </w:rPr>
  </w:style>
  <w:style w:type="character" w:styleId="QuoteChar" w:customStyle="1">
    <w:name w:val="Quote Char"/>
    <w:basedOn w:val="DefaultParagraphFont"/>
    <w:link w:val="Quote"/>
    <w:uiPriority w:val="29"/>
    <w:rsid w:val="00B14576"/>
    <w:rPr>
      <w:rFonts w:ascii="Verdana" w:hAnsi="Verdana"/>
      <w:i/>
      <w:iCs/>
      <w:color w:val="404040" w:themeColor="text1" w:themeTint="BF"/>
      <w:sz w:val="22"/>
    </w:rPr>
  </w:style>
  <w:style w:type="character" w:styleId="Strong">
    <w:name w:val="Strong"/>
    <w:basedOn w:val="DefaultParagraphFont"/>
    <w:uiPriority w:val="22"/>
    <w:qFormat/>
    <w:rsid w:val="00B14576"/>
    <w:rPr>
      <w:rFonts w:ascii="Verdana" w:hAnsi="Verdana"/>
      <w:b/>
      <w:bCs/>
      <w:i/>
      <w:sz w:val="32"/>
    </w:rPr>
  </w:style>
  <w:style w:type="character" w:styleId="IntenseEmphasis">
    <w:name w:val="Intense Emphasis"/>
    <w:basedOn w:val="DefaultParagraphFont"/>
    <w:uiPriority w:val="21"/>
    <w:rsid w:val="006F106B"/>
    <w:rPr>
      <w:i/>
      <w:iCs/>
      <w:color w:val="4472C4" w:themeColor="accent1"/>
    </w:rPr>
  </w:style>
  <w:style w:type="character" w:styleId="Heading4Char" w:customStyle="1">
    <w:name w:val="Heading 4 Char"/>
    <w:basedOn w:val="DefaultParagraphFont"/>
    <w:link w:val="Heading4"/>
    <w:uiPriority w:val="9"/>
    <w:rsid w:val="00B14576"/>
    <w:rPr>
      <w:rFonts w:ascii="Verdana" w:hAnsi="Verdana" w:eastAsiaTheme="majorEastAsia" w:cstheme="majorBidi"/>
      <w:b/>
      <w:iCs/>
      <w:color w:val="000000" w:themeColor="text1"/>
      <w:sz w:val="22"/>
    </w:rPr>
  </w:style>
  <w:style w:type="character" w:styleId="Heading5Char" w:customStyle="1">
    <w:name w:val="Heading 5 Char"/>
    <w:basedOn w:val="DefaultParagraphFont"/>
    <w:link w:val="Heading5"/>
    <w:uiPriority w:val="9"/>
    <w:rsid w:val="00B14576"/>
    <w:rPr>
      <w:rFonts w:asciiTheme="majorHAnsi" w:hAnsiTheme="majorHAnsi" w:eastAsiaTheme="majorEastAsia" w:cstheme="majorBidi"/>
      <w:color w:val="2F5496" w:themeColor="accent1" w:themeShade="BF"/>
      <w:sz w:val="22"/>
    </w:rPr>
  </w:style>
  <w:style w:type="character" w:styleId="Heading6Char" w:customStyle="1">
    <w:name w:val="Heading 6 Char"/>
    <w:basedOn w:val="DefaultParagraphFont"/>
    <w:link w:val="Heading6"/>
    <w:uiPriority w:val="9"/>
    <w:rsid w:val="00B14576"/>
    <w:rPr>
      <w:rFonts w:asciiTheme="majorHAnsi" w:hAnsiTheme="majorHAnsi" w:eastAsiaTheme="majorEastAsia" w:cstheme="majorBidi"/>
      <w:color w:val="1F3763" w:themeColor="accent1" w:themeShade="7F"/>
      <w:sz w:val="22"/>
    </w:rPr>
  </w:style>
  <w:style w:type="character" w:styleId="Heading7Char" w:customStyle="1">
    <w:name w:val="Heading 7 Char"/>
    <w:basedOn w:val="DefaultParagraphFont"/>
    <w:link w:val="Heading7"/>
    <w:uiPriority w:val="9"/>
    <w:rsid w:val="00B14576"/>
    <w:rPr>
      <w:rFonts w:asciiTheme="majorHAnsi" w:hAnsiTheme="majorHAnsi" w:eastAsiaTheme="majorEastAsia" w:cstheme="majorBidi"/>
      <w:i/>
      <w:iCs/>
      <w:color w:val="1F3763" w:themeColor="accent1" w:themeShade="7F"/>
      <w:sz w:val="22"/>
    </w:rPr>
  </w:style>
  <w:style w:type="character" w:styleId="Heading8Char" w:customStyle="1">
    <w:name w:val="Heading 8 Char"/>
    <w:basedOn w:val="DefaultParagraphFont"/>
    <w:link w:val="Heading8"/>
    <w:uiPriority w:val="9"/>
    <w:rsid w:val="00B14576"/>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rsid w:val="00B14576"/>
    <w:rPr>
      <w:rFonts w:asciiTheme="majorHAnsi" w:hAnsiTheme="majorHAnsi" w:eastAsiaTheme="majorEastAsia" w:cstheme="majorBidi"/>
      <w:i/>
      <w:iCs/>
      <w:color w:val="272727" w:themeColor="text1" w:themeTint="D8"/>
      <w:sz w:val="21"/>
      <w:szCs w:val="21"/>
    </w:rPr>
  </w:style>
  <w:style w:type="paragraph" w:styleId="Smallprint" w:customStyle="1">
    <w:name w:val="Small print"/>
    <w:basedOn w:val="Normal"/>
    <w:link w:val="SmallprintChar"/>
    <w:qFormat/>
    <w:rsid w:val="00112623"/>
    <w:rPr>
      <w:color w:val="7F7F7F" w:themeColor="text1" w:themeTint="80"/>
      <w:sz w:val="16"/>
    </w:rPr>
  </w:style>
  <w:style w:type="character" w:styleId="SmallprintChar" w:customStyle="1">
    <w:name w:val="Small print Char"/>
    <w:basedOn w:val="DefaultParagraphFont"/>
    <w:link w:val="Smallprint"/>
    <w:rsid w:val="00112623"/>
    <w:rPr>
      <w:rFonts w:ascii="Verdana" w:hAnsi="Verdana"/>
      <w:color w:val="7F7F7F" w:themeColor="text1" w:themeTint="80"/>
      <w:sz w:val="16"/>
    </w:rPr>
  </w:style>
  <w:style w:type="paragraph" w:styleId="paragraph" w:customStyle="1">
    <w:name w:val="paragraph"/>
    <w:basedOn w:val="Normal"/>
    <w:rsid w:val="0075657D"/>
    <w:pPr>
      <w:spacing w:before="100" w:beforeAutospacing="1" w:after="100" w:afterAutospacing="1"/>
    </w:pPr>
    <w:rPr>
      <w:rFonts w:ascii="Times New Roman" w:hAnsi="Times New Roman" w:eastAsia="Times New Roman" w:cs="Times New Roman"/>
      <w:color w:val="auto"/>
      <w:sz w:val="24"/>
      <w:lang w:eastAsia="en-GB"/>
    </w:rPr>
  </w:style>
  <w:style w:type="character" w:styleId="normaltextrun" w:customStyle="1">
    <w:name w:val="normaltextrun"/>
    <w:basedOn w:val="DefaultParagraphFont"/>
    <w:rsid w:val="0075657D"/>
  </w:style>
  <w:style w:type="character" w:styleId="eop" w:customStyle="1">
    <w:name w:val="eop"/>
    <w:basedOn w:val="DefaultParagraphFont"/>
    <w:rsid w:val="0075657D"/>
  </w:style>
  <w:style w:type="character" w:styleId="legschedulenolegheadingref1" w:customStyle="1">
    <w:name w:val="legscheduleno legheadingref1"/>
    <w:rsid w:val="00F93F6B"/>
    <w:rPr>
      <w:vanish w:val="0"/>
      <w:webHidden w:val="0"/>
      <w:sz w:val="24"/>
      <w:szCs w:val="24"/>
      <w:shd w:val="clear" w:color="auto" w:fill="FFFFFF"/>
      <w:specVanish w:val="0"/>
    </w:rPr>
  </w:style>
  <w:style w:type="paragraph" w:styleId="NormalWeb">
    <w:name w:val="Normal (Web)"/>
    <w:basedOn w:val="Normal"/>
    <w:uiPriority w:val="99"/>
    <w:unhideWhenUsed/>
    <w:rsid w:val="000C7484"/>
    <w:pPr>
      <w:spacing w:before="100" w:beforeAutospacing="1" w:after="100" w:afterAutospacing="1"/>
    </w:pPr>
    <w:rPr>
      <w:rFonts w:ascii="Times New Roman" w:hAnsi="Times New Roman" w:eastAsia="Times New Roman" w:cs="Times New Roman"/>
      <w:color w:val="auto"/>
      <w:sz w:val="24"/>
      <w:lang w:eastAsia="en-GB"/>
    </w:rPr>
  </w:style>
  <w:style w:type="paragraph" w:styleId="Revision">
    <w:name w:val="Revision"/>
    <w:hidden/>
    <w:uiPriority w:val="99"/>
    <w:semiHidden/>
    <w:rsid w:val="00404EAC"/>
    <w:rPr>
      <w:rFonts w:ascii="Verdana" w:hAnsi="Verdana"/>
      <w:color w:val="000000" w:themeColor="text1"/>
      <w:sz w:val="22"/>
    </w:rPr>
  </w:style>
  <w:style w:type="character" w:styleId="CommentReference">
    <w:name w:val="annotation reference"/>
    <w:basedOn w:val="DefaultParagraphFont"/>
    <w:uiPriority w:val="99"/>
    <w:semiHidden/>
    <w:unhideWhenUsed/>
    <w:rsid w:val="001C2513"/>
    <w:rPr>
      <w:sz w:val="16"/>
      <w:szCs w:val="16"/>
    </w:rPr>
  </w:style>
  <w:style w:type="paragraph" w:styleId="CommentText">
    <w:name w:val="annotation text"/>
    <w:basedOn w:val="Normal"/>
    <w:link w:val="CommentTextChar"/>
    <w:uiPriority w:val="99"/>
    <w:unhideWhenUsed/>
    <w:rsid w:val="001C2513"/>
    <w:rPr>
      <w:sz w:val="20"/>
      <w:szCs w:val="20"/>
    </w:rPr>
  </w:style>
  <w:style w:type="character" w:styleId="CommentTextChar" w:customStyle="1">
    <w:name w:val="Comment Text Char"/>
    <w:basedOn w:val="DefaultParagraphFont"/>
    <w:link w:val="CommentText"/>
    <w:uiPriority w:val="99"/>
    <w:rsid w:val="001C2513"/>
    <w:rPr>
      <w:rFonts w:ascii="Verdana" w:hAnsi="Verdana"/>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1C2513"/>
    <w:rPr>
      <w:b/>
      <w:bCs/>
    </w:rPr>
  </w:style>
  <w:style w:type="character" w:styleId="CommentSubjectChar" w:customStyle="1">
    <w:name w:val="Comment Subject Char"/>
    <w:basedOn w:val="CommentTextChar"/>
    <w:link w:val="CommentSubject"/>
    <w:uiPriority w:val="99"/>
    <w:semiHidden/>
    <w:rsid w:val="001C2513"/>
    <w:rPr>
      <w:rFonts w:ascii="Verdana" w:hAnsi="Verdana"/>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625269">
      <w:bodyDiv w:val="1"/>
      <w:marLeft w:val="0"/>
      <w:marRight w:val="0"/>
      <w:marTop w:val="0"/>
      <w:marBottom w:val="0"/>
      <w:divBdr>
        <w:top w:val="none" w:sz="0" w:space="0" w:color="auto"/>
        <w:left w:val="none" w:sz="0" w:space="0" w:color="auto"/>
        <w:bottom w:val="none" w:sz="0" w:space="0" w:color="auto"/>
        <w:right w:val="none" w:sz="0" w:space="0" w:color="auto"/>
      </w:divBdr>
    </w:div>
    <w:div w:id="1505852310">
      <w:bodyDiv w:val="1"/>
      <w:marLeft w:val="0"/>
      <w:marRight w:val="0"/>
      <w:marTop w:val="0"/>
      <w:marBottom w:val="0"/>
      <w:divBdr>
        <w:top w:val="none" w:sz="0" w:space="0" w:color="auto"/>
        <w:left w:val="none" w:sz="0" w:space="0" w:color="auto"/>
        <w:bottom w:val="none" w:sz="0" w:space="0" w:color="auto"/>
        <w:right w:val="none" w:sz="0" w:space="0" w:color="auto"/>
      </w:divBdr>
    </w:div>
    <w:div w:id="1749839710">
      <w:bodyDiv w:val="1"/>
      <w:marLeft w:val="0"/>
      <w:marRight w:val="0"/>
      <w:marTop w:val="0"/>
      <w:marBottom w:val="0"/>
      <w:divBdr>
        <w:top w:val="none" w:sz="0" w:space="0" w:color="auto"/>
        <w:left w:val="none" w:sz="0" w:space="0" w:color="auto"/>
        <w:bottom w:val="none" w:sz="0" w:space="0" w:color="auto"/>
        <w:right w:val="none" w:sz="0" w:space="0" w:color="auto"/>
      </w:divBdr>
    </w:div>
    <w:div w:id="192283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customXml" Target="../customXml/item7.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6.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Policy" ma:contentTypeID="0x0101008F0C6ADB2B91014A8C6FC51924D95DC904009357A7B32753EA4F95B5DDCED1A383FC" ma:contentTypeVersion="108" ma:contentTypeDescription="" ma:contentTypeScope="" ma:versionID="0fc13a92a78c6b0bdd177b135ff5692a">
  <xsd:schema xmlns:xsd="http://www.w3.org/2001/XMLSchema" xmlns:xs="http://www.w3.org/2001/XMLSchema" xmlns:p="http://schemas.microsoft.com/office/2006/metadata/properties" xmlns:ns2="6b5cf5de-e756-4d12-8eb8-82cb6e65be97" xmlns:ns3="385e67f0-dee5-48ec-8025-27a598a5d4d0" xmlns:ns4="748a322f-5425-4af9-8d29-3a4e240eb19e" targetNamespace="http://schemas.microsoft.com/office/2006/metadata/properties" ma:root="true" ma:fieldsID="97e9090faf5ab3962a05a55bac8a338f" ns2:_="" ns3:_="" ns4:_="">
    <xsd:import namespace="6b5cf5de-e756-4d12-8eb8-82cb6e65be97"/>
    <xsd:import namespace="385e67f0-dee5-48ec-8025-27a598a5d4d0"/>
    <xsd:import namespace="748a322f-5425-4af9-8d29-3a4e240eb19e"/>
    <xsd:element name="properties">
      <xsd:complexType>
        <xsd:sequence>
          <xsd:element name="documentManagement">
            <xsd:complexType>
              <xsd:all>
                <xsd:element ref="ns2:ice293ae919c432f9b8938ff382d4686" minOccurs="0"/>
                <xsd:element ref="ns2:TaxCatchAll" minOccurs="0"/>
                <xsd:element ref="ns2:TaxCatchAllLabel" minOccurs="0"/>
                <xsd:element ref="ns2:b34dfca1320d47e2963fc740e662d263" minOccurs="0"/>
                <xsd:element ref="ns2:h96089b0f401470198cfa6eecbccbae1" minOccurs="0"/>
                <xsd:element ref="ns2:DocumentOwner"/>
                <xsd:element ref="ns2:Champion"/>
                <xsd:element ref="ns2:DateIssued" minOccurs="0"/>
                <xsd:element ref="ns2:ReviewDate" minOccurs="0"/>
                <xsd:element ref="ns2:DocumentStatus" minOccurs="0"/>
                <xsd:element ref="ns2:PublishedOnWebsite" minOccurs="0"/>
                <xsd:element ref="ns2:h3c175a968704224bd0b2201acee0cc2" minOccurs="0"/>
                <xsd:element ref="ns2:PFProgramme" minOccurs="0"/>
                <xsd:element ref="ns2:VersionComments" minOccurs="0"/>
                <xsd:element ref="ns2:VersionNumber"/>
                <xsd:element ref="ns2:efba480f755d475e8923aed79296e38d" minOccurs="0"/>
                <xsd:element ref="ns2:AmendmentType" minOccurs="0"/>
                <xsd:element ref="ns2:ApproverComments" minOccurs="0"/>
                <xsd:element ref="ns2:Approver" minOccurs="0"/>
                <xsd:element ref="ns2:jb0367748c5e450689e88f152168201d" minOccurs="0"/>
                <xsd:element ref="ns2:AdditionalNotes" minOccurs="0"/>
                <xsd:element ref="ns2:DateApproved" minOccurs="0"/>
                <xsd:element ref="ns3:_dlc_DocId" minOccurs="0"/>
                <xsd:element ref="ns3:_dlc_DocIdUrl" minOccurs="0"/>
                <xsd:element ref="ns3:_dlc_DocIdPersistId" minOccurs="0"/>
                <xsd:element ref="ns4:RVPFeedbackRequired" minOccurs="0"/>
                <xsd:element ref="ns4:LastReminderSent" minOccurs="0"/>
                <xsd:element ref="ns4:ReminderCount" minOccurs="0"/>
                <xsd:element ref="ns4:STAI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5cf5de-e756-4d12-8eb8-82cb6e65be97" elementFormDefault="qualified">
    <xsd:import namespace="http://schemas.microsoft.com/office/2006/documentManagement/types"/>
    <xsd:import namespace="http://schemas.microsoft.com/office/infopath/2007/PartnerControls"/>
    <xsd:element name="ice293ae919c432f9b8938ff382d4686" ma:index="8" ma:taxonomy="true" ma:internalName="ice293ae919c432f9b8938ff382d4686" ma:taxonomyFieldName="Organisation" ma:displayName="Organisation" ma:readOnly="false" ma:default="" ma:fieldId="{2ce293ae-919c-432f-9b89-38ff382d4686}" ma:sspId="779b0195-fcef-4ba2-8ec4-1ca7a1c6e579" ma:termSetId="cff0d647-98bf-4303-9bbe-972a3ca789b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b6d601e5-1776-41a6-b7bb-955b72fbff11}" ma:internalName="TaxCatchAll" ma:showField="CatchAllData" ma:web="385e67f0-dee5-48ec-8025-27a598a5d4d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6d601e5-1776-41a6-b7bb-955b72fbff11}" ma:internalName="TaxCatchAllLabel" ma:readOnly="true" ma:showField="CatchAllDataLabel" ma:web="385e67f0-dee5-48ec-8025-27a598a5d4d0">
      <xsd:complexType>
        <xsd:complexContent>
          <xsd:extension base="dms:MultiChoiceLookup">
            <xsd:sequence>
              <xsd:element name="Value" type="dms:Lookup" maxOccurs="unbounded" minOccurs="0" nillable="true"/>
            </xsd:sequence>
          </xsd:extension>
        </xsd:complexContent>
      </xsd:complexType>
    </xsd:element>
    <xsd:element name="b34dfca1320d47e2963fc740e662d263" ma:index="12" ma:taxonomy="true" ma:internalName="b34dfca1320d47e2963fc740e662d263" ma:taxonomyFieldName="Team" ma:displayName="Team" ma:readOnly="false" ma:default="" ma:fieldId="{b34dfca1-320d-47e2-963f-c740e662d263}" ma:sspId="779b0195-fcef-4ba2-8ec4-1ca7a1c6e579" ma:termSetId="a66d0383-158b-429a-9dd1-c4e68cc9122e" ma:anchorId="00000000-0000-0000-0000-000000000000" ma:open="false" ma:isKeyword="false">
      <xsd:complexType>
        <xsd:sequence>
          <xsd:element ref="pc:Terms" minOccurs="0" maxOccurs="1"/>
        </xsd:sequence>
      </xsd:complexType>
    </xsd:element>
    <xsd:element name="h96089b0f401470198cfa6eecbccbae1" ma:index="14" ma:taxonomy="true" ma:internalName="h96089b0f401470198cfa6eecbccbae1" ma:taxonomyFieldName="Discipline" ma:displayName="Discipline" ma:readOnly="false" ma:default="" ma:fieldId="{196089b0-f401-4701-98cf-a6eecbccbae1}" ma:taxonomyMulti="true" ma:sspId="779b0195-fcef-4ba2-8ec4-1ca7a1c6e579" ma:termSetId="7e5580c0-33f3-408f-be30-96a49d922fe2" ma:anchorId="00000000-0000-0000-0000-000000000000" ma:open="false" ma:isKeyword="false">
      <xsd:complexType>
        <xsd:sequence>
          <xsd:element ref="pc:Terms" minOccurs="0" maxOccurs="1"/>
        </xsd:sequence>
      </xsd:complexType>
    </xsd:element>
    <xsd:element name="DocumentOwner" ma:index="16" ma:displayName="Document Owner" ma:list="UserInfo" ma:SharePointGroup="0" ma:internalName="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hampion" ma:index="17" ma:displayName="Champion" ma:list="UserInfo" ma:SharePointGroup="0" ma:internalName="Champi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ateIssued" ma:index="18" nillable="true" ma:displayName="Date Issued" ma:format="DateOnly" ma:internalName="DateIssued">
      <xsd:simpleType>
        <xsd:restriction base="dms:DateTime"/>
      </xsd:simpleType>
    </xsd:element>
    <xsd:element name="ReviewDate" ma:index="19" nillable="true" ma:displayName="Review Date" ma:format="DateOnly" ma:internalName="ReviewDate">
      <xsd:simpleType>
        <xsd:restriction base="dms:DateTime"/>
      </xsd:simpleType>
    </xsd:element>
    <xsd:element name="DocumentStatus" ma:index="20" nillable="true" ma:displayName="Document Status" ma:default="Active" ma:format="Dropdown" ma:hidden="true" ma:internalName="DocumentStatus" ma:readOnly="false">
      <xsd:simpleType>
        <xsd:restriction base="dms:Choice">
          <xsd:enumeration value="Active"/>
          <xsd:enumeration value="Void"/>
          <xsd:enumeration value="Pending Review"/>
          <xsd:enumeration value="Expired"/>
        </xsd:restriction>
      </xsd:simpleType>
    </xsd:element>
    <xsd:element name="PublishedOnWebsite" ma:index="21" nillable="true" ma:displayName="Published on Website" ma:default="0" ma:internalName="PublishedOnWebsite">
      <xsd:simpleType>
        <xsd:restriction base="dms:Boolean"/>
      </xsd:simpleType>
    </xsd:element>
    <xsd:element name="h3c175a968704224bd0b2201acee0cc2" ma:index="22" ma:taxonomy="true" ma:internalName="h3c175a968704224bd0b2201acee0cc2" ma:taxonomyFieldName="DocumentScope" ma:displayName="Document Scope" ma:readOnly="false" ma:default="" ma:fieldId="{13c175a9-6870-4224-bd0b-2201acee0cc2}" ma:taxonomyMulti="true" ma:sspId="779b0195-fcef-4ba2-8ec4-1ca7a1c6e579" ma:termSetId="cff0d647-98bf-4303-9bbe-972a3ca789ba" ma:anchorId="00000000-0000-0000-0000-000000000000" ma:open="false" ma:isKeyword="false">
      <xsd:complexType>
        <xsd:sequence>
          <xsd:element ref="pc:Terms" minOccurs="0" maxOccurs="1"/>
        </xsd:sequence>
      </xsd:complexType>
    </xsd:element>
    <xsd:element name="PFProgramme" ma:index="24" nillable="true" ma:displayName="PF Programme" ma:default="Not applicable" ma:format="Dropdown" ma:internalName="PFProgramme">
      <xsd:simpleType>
        <xsd:restriction base="dms:Choice">
          <xsd:enumeration value="Not applicable"/>
          <xsd:enumeration value="Discovery programme"/>
          <xsd:enumeration value="Raising aspirations"/>
          <xsd:enumeration value="Stepping up &amp; Standing out"/>
        </xsd:restriction>
      </xsd:simpleType>
    </xsd:element>
    <xsd:element name="VersionComments" ma:index="25" nillable="true" ma:displayName="Version Comments" ma:internalName="VersionComments">
      <xsd:simpleType>
        <xsd:restriction base="dms:Note">
          <xsd:maxLength value="255"/>
        </xsd:restriction>
      </xsd:simpleType>
    </xsd:element>
    <xsd:element name="VersionNumber" ma:index="26" ma:displayName="Version Number" ma:decimals="2" ma:format="Dropdown" ma:internalName="VersionNumber" ma:readOnly="false" ma:percentage="FALSE">
      <xsd:simpleType>
        <xsd:restriction base="dms:Number">
          <xsd:minInclusive value="0.1"/>
        </xsd:restriction>
      </xsd:simpleType>
    </xsd:element>
    <xsd:element name="efba480f755d475e8923aed79296e38d" ma:index="27" nillable="true" ma:taxonomy="true" ma:internalName="efba480f755d475e8923aed79296e38d" ma:taxonomyFieldName="ApprovedBy" ma:displayName="Approved By (Management Team)" ma:fieldId="{efba480f-755d-475e-8923-aed79296e38d}" ma:sspId="779b0195-fcef-4ba2-8ec4-1ca7a1c6e579" ma:termSetId="2b658d03-d448-436f-b049-2e762d745f1d" ma:anchorId="00000000-0000-0000-0000-000000000000" ma:open="false" ma:isKeyword="false">
      <xsd:complexType>
        <xsd:sequence>
          <xsd:element ref="pc:Terms" minOccurs="0" maxOccurs="1"/>
        </xsd:sequence>
      </xsd:complexType>
    </xsd:element>
    <xsd:element name="AmendmentType" ma:index="29" nillable="true" ma:displayName="Amendment Type" ma:format="Dropdown" ma:internalName="AmendmentType">
      <xsd:simpleType>
        <xsd:restriction base="dms:Choice">
          <xsd:enumeration value="Major"/>
          <xsd:enumeration value="Minor"/>
        </xsd:restriction>
      </xsd:simpleType>
    </xsd:element>
    <xsd:element name="ApproverComments" ma:index="30" nillable="true" ma:displayName="Approver Comments" ma:internalName="ApproverComments">
      <xsd:simpleType>
        <xsd:restriction base="dms:Note">
          <xsd:maxLength value="255"/>
        </xsd:restriction>
      </xsd:simpleType>
    </xsd:element>
    <xsd:element name="Approver" ma:index="31" nillable="true" ma:displayName="Approver" ma:list="UserInfo" ma:internalName="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b0367748c5e450689e88f152168201d" ma:index="32" nillable="true" ma:displayName="Legislation_0" ma:hidden="true" ma:internalName="jb0367748c5e450689e88f152168201d">
      <xsd:simpleType>
        <xsd:restriction base="dms:Note"/>
      </xsd:simpleType>
    </xsd:element>
    <xsd:element name="AdditionalNotes" ma:index="33" nillable="true" ma:displayName="Notes" ma:internalName="AdditionalNotes">
      <xsd:simpleType>
        <xsd:restriction base="dms:Note">
          <xsd:maxLength value="255"/>
        </xsd:restriction>
      </xsd:simpleType>
    </xsd:element>
    <xsd:element name="DateApproved" ma:index="34" nillable="true" ma:displayName="Date Approved" ma:format="DateOnly" ma:internalName="DateApprov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85e67f0-dee5-48ec-8025-27a598a5d4d0" elementFormDefault="qualified">
    <xsd:import namespace="http://schemas.microsoft.com/office/2006/documentManagement/types"/>
    <xsd:import namespace="http://schemas.microsoft.com/office/infopath/2007/PartnerControls"/>
    <xsd:element name="_dlc_DocId" ma:index="35" nillable="true" ma:displayName="Document ID Value" ma:description="The value of the document ID assigned to this item." ma:indexed="true" ma:internalName="_dlc_DocId" ma:readOnly="true">
      <xsd:simpleType>
        <xsd:restriction base="dms:Text"/>
      </xsd:simpleType>
    </xsd:element>
    <xsd:element name="_dlc_DocIdUrl" ma:index="3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48a322f-5425-4af9-8d29-3a4e240eb19e" elementFormDefault="qualified">
    <xsd:import namespace="http://schemas.microsoft.com/office/2006/documentManagement/types"/>
    <xsd:import namespace="http://schemas.microsoft.com/office/infopath/2007/PartnerControls"/>
    <xsd:element name="RVPFeedbackRequired" ma:index="38" nillable="true" ma:displayName="Customer Voice Feedback Required" ma:format="Dropdown" ma:internalName="RVPFeedbackRequired">
      <xsd:simpleType>
        <xsd:restriction base="dms:Choice">
          <xsd:enumeration value="Yes"/>
          <xsd:enumeration value="No"/>
        </xsd:restriction>
      </xsd:simpleType>
    </xsd:element>
    <xsd:element name="LastReminderSent" ma:index="39" nillable="true" ma:displayName="LastReminderSent" ma:format="DateOnly" ma:internalName="LastReminderSent">
      <xsd:simpleType>
        <xsd:restriction base="dms:DateTime"/>
      </xsd:simpleType>
    </xsd:element>
    <xsd:element name="ReminderCount" ma:index="40" nillable="true" ma:displayName="ReminderCount" ma:internalName="ReminderCount">
      <xsd:simpleType>
        <xsd:restriction base="dms:Number"/>
      </xsd:simpleType>
    </xsd:element>
    <xsd:element name="STAIRs" ma:index="41" nillable="true" ma:displayName="STAIRs" ma:default="1" ma:description="Can this document be shared as part of a STAIRs request" ma:format="Dropdown" ma:internalName="STAIR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b5cf5de-e756-4d12-8eb8-82cb6e65be97">
      <Value>31</Value>
      <Value>30</Value>
      <Value>147</Value>
      <Value>10</Value>
      <Value>153</Value>
      <Value>302</Value>
      <Value>5</Value>
      <Value>81</Value>
      <Value>25</Value>
      <Value>188</Value>
      <Value>170</Value>
    </TaxCatchAll>
    <Approver xmlns="6b5cf5de-e756-4d12-8eb8-82cb6e65be97">
      <UserInfo>
        <DisplayName/>
        <AccountId xsi:nil="true"/>
        <AccountType/>
      </UserInfo>
    </Approver>
    <jb0367748c5e450689e88f152168201d xmlns="6b5cf5de-e756-4d12-8eb8-82cb6e65be97">Landlord and Tenant Act 1985 and 1987|2212c5c7-7b58-4fc4-9de1-acc0eb39152d;Housing Act 1988|37994c57-b4d4-48ed-bf1c-8a998ad440a7;Housing Act 1996|0143596d-26d3-4c6c-bddb-011a5b0c9830;Commonhold and Leasehold Reform Act 2000|8c414fcb-09e2-4077-b5c2-9bd60859bc35;Equality Act 2010|d061fe83-c046-4026-bff6-3290b0398088;General Data Protection Act 2018|b3238e2d-e5e0-45d3-abdc-066fc0339705;Building Safety Act 2022|88b08966-f22b-4756-8391-9089388a3627</jb0367748c5e450689e88f152168201d>
    <ice293ae919c432f9b8938ff382d4686 xmlns="6b5cf5de-e756-4d12-8eb8-82cb6e65be97">
      <Terms xmlns="http://schemas.microsoft.com/office/infopath/2007/PartnerControls">
        <TermInfo xmlns="http://schemas.microsoft.com/office/infopath/2007/PartnerControls">
          <TermName xmlns="http://schemas.microsoft.com/office/infopath/2007/PartnerControls">Redwing</TermName>
          <TermId xmlns="http://schemas.microsoft.com/office/infopath/2007/PartnerControls">01a1450e-d78f-4c1e-a4fb-30399122cff6</TermId>
        </TermInfo>
      </Terms>
    </ice293ae919c432f9b8938ff382d4686>
    <DocumentOwner xmlns="6b5cf5de-e756-4d12-8eb8-82cb6e65be97">
      <UserInfo>
        <DisplayName>Michelle Brooks</DisplayName>
        <AccountId>142</AccountId>
        <AccountType/>
      </UserInfo>
    </DocumentOwner>
    <efba480f755d475e8923aed79296e38d xmlns="6b5cf5de-e756-4d12-8eb8-82cb6e65be97">
      <Terms xmlns="http://schemas.microsoft.com/office/infopath/2007/PartnerControls">
        <TermInfo xmlns="http://schemas.microsoft.com/office/infopath/2007/PartnerControls">
          <TermName xmlns="http://schemas.microsoft.com/office/infopath/2007/PartnerControls">Executive Team</TermName>
          <TermId xmlns="http://schemas.microsoft.com/office/infopath/2007/PartnerControls">8cf64cc0-3f43-4d6b-aac2-66c3a09f1e26</TermId>
        </TermInfo>
      </Terms>
    </efba480f755d475e8923aed79296e38d>
    <ReviewDate xmlns="6b5cf5de-e756-4d12-8eb8-82cb6e65be97">2027-08-31T23:00:00+00:00</ReviewDate>
    <h3c175a968704224bd0b2201acee0cc2 xmlns="6b5cf5de-e756-4d12-8eb8-82cb6e65be97">
      <Terms xmlns="http://schemas.microsoft.com/office/infopath/2007/PartnerControls">
        <TermInfo xmlns="http://schemas.microsoft.com/office/infopath/2007/PartnerControls">
          <TermName xmlns="http://schemas.microsoft.com/office/infopath/2007/PartnerControls">Redwing</TermName>
          <TermId xmlns="http://schemas.microsoft.com/office/infopath/2007/PartnerControls">01a1450e-d78f-4c1e-a4fb-30399122cff6</TermId>
        </TermInfo>
      </Terms>
    </h3c175a968704224bd0b2201acee0cc2>
    <PFProgramme xmlns="6b5cf5de-e756-4d12-8eb8-82cb6e65be97">Not applicable</PFProgramme>
    <b34dfca1320d47e2963fc740e662d263 xmlns="6b5cf5de-e756-4d12-8eb8-82cb6e65be97">
      <Terms xmlns="http://schemas.microsoft.com/office/infopath/2007/PartnerControls">
        <TermInfo xmlns="http://schemas.microsoft.com/office/infopath/2007/PartnerControls">
          <TermName xmlns="http://schemas.microsoft.com/office/infopath/2007/PartnerControls">Redwing</TermName>
          <TermId xmlns="http://schemas.microsoft.com/office/infopath/2007/PartnerControls">2869a714-b47c-45f7-94eb-40774dcba9a5</TermId>
        </TermInfo>
      </Terms>
    </b34dfca1320d47e2963fc740e662d263>
    <DateIssued xmlns="6b5cf5de-e756-4d12-8eb8-82cb6e65be97">2025-08-31T23:00:00+00:00</DateIssued>
    <VersionNumber xmlns="6b5cf5de-e756-4d12-8eb8-82cb6e65be97">1</VersionNumber>
    <Champion xmlns="6b5cf5de-e756-4d12-8eb8-82cb6e65be97">
      <UserInfo>
        <DisplayName>Alex Andani</DisplayName>
        <AccountId>16</AccountId>
        <AccountType/>
      </UserInfo>
    </Champion>
    <VersionComments xmlns="6b5cf5de-e756-4d12-8eb8-82cb6e65be97" xsi:nil="true"/>
    <h96089b0f401470198cfa6eecbccbae1 xmlns="6b5cf5de-e756-4d12-8eb8-82cb6e65be97">
      <Terms xmlns="http://schemas.microsoft.com/office/infopath/2007/PartnerControls">
        <TermInfo xmlns="http://schemas.microsoft.com/office/infopath/2007/PartnerControls">
          <TermName xmlns="http://schemas.microsoft.com/office/infopath/2007/PartnerControls">Redwing</TermName>
          <TermId xmlns="http://schemas.microsoft.com/office/infopath/2007/PartnerControls">c3f4c9ff-04aa-442a-bf77-66677b73ed99</TermId>
        </TermInfo>
      </Terms>
    </h96089b0f401470198cfa6eecbccbae1>
    <DocumentStatus xmlns="6b5cf5de-e756-4d12-8eb8-82cb6e65be97">Active</DocumentStatus>
    <PublishedOnWebsite xmlns="6b5cf5de-e756-4d12-8eb8-82cb6e65be97">false</PublishedOnWebsite>
    <AdditionalNotes xmlns="6b5cf5de-e756-4d12-8eb8-82cb6e65be97" xsi:nil="true"/>
    <AmendmentType xmlns="6b5cf5de-e756-4d12-8eb8-82cb6e65be97" xsi:nil="true"/>
    <RVPFeedbackRequired xmlns="748a322f-5425-4af9-8d29-3a4e240eb19e" xsi:nil="true"/>
    <ApproverComments xmlns="6b5cf5de-e756-4d12-8eb8-82cb6e65be97" xsi:nil="true"/>
    <_dlc_DocId xmlns="385e67f0-dee5-48ec-8025-27a598a5d4d0">DOCS-482424272-4384</_dlc_DocId>
    <_dlc_DocIdUrl xmlns="385e67f0-dee5-48ec-8025-27a598a5d4d0">
      <Url>https://regenda.sharepoint.com/sites/GroupDMS/_layouts/15/DocIdRedir.aspx?ID=DOCS-482424272-4384</Url>
      <Description>DOCS-482424272-4384</Description>
    </_dlc_DocIdUrl>
    <DateApproved xmlns="6b5cf5de-e756-4d12-8eb8-82cb6e65be97">2025-09-29T23:00:00+00:00</DateApproved>
    <STAIRs xmlns="748a322f-5425-4af9-8d29-3a4e240eb19e">true</STAIRs>
    <ReminderCount xmlns="748a322f-5425-4af9-8d29-3a4e240eb19e" xsi:nil="true"/>
    <LastReminderSent xmlns="748a322f-5425-4af9-8d29-3a4e240eb19e" xsi:nil="true"/>
  </documentManagement>
</p:properties>
</file>

<file path=customXml/item5.xml><?xml version="1.0" encoding="utf-8"?>
<properties xmlns="http://www.imanage.com/work/xmlschema">
  <documentid>LEGAL!143440061.1</documentid>
  <senderid>LJ007</senderid>
  <senderemail>LYNN.JAMES@CLARKEWILLMOTT.COM</senderemail>
  <lastmodified>2025-01-23T21:30:00.0000000+00:00</lastmodified>
  <database>LEGAL</database>
</properties>
</file>

<file path=customXml/item6.xml><?xml version="1.0" encoding="utf-8"?>
<?mso-contentType ?>
<SharedContentType xmlns="Microsoft.SharePoint.Taxonomy.ContentTypeSync" SourceId="779b0195-fcef-4ba2-8ec4-1ca7a1c6e579" ContentTypeId="0x0101008F0C6ADB2B91014A8C6FC51924D95DC9" PreviousValue="fals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B4ABFDC-A9AF-4376-ACB7-AE0F960E60EF}"/>
</file>

<file path=customXml/itemProps2.xml><?xml version="1.0" encoding="utf-8"?>
<ds:datastoreItem xmlns:ds="http://schemas.openxmlformats.org/officeDocument/2006/customXml" ds:itemID="{CC374A2B-4949-424A-908C-7CB8FA4B2806}">
  <ds:schemaRefs>
    <ds:schemaRef ds:uri="http://schemas.openxmlformats.org/officeDocument/2006/bibliography"/>
  </ds:schemaRefs>
</ds:datastoreItem>
</file>

<file path=customXml/itemProps3.xml><?xml version="1.0" encoding="utf-8"?>
<ds:datastoreItem xmlns:ds="http://schemas.openxmlformats.org/officeDocument/2006/customXml" ds:itemID="{2CAF16D6-63DA-4545-AC13-5C00D681BC34}">
  <ds:schemaRefs>
    <ds:schemaRef ds:uri="http://schemas.microsoft.com/sharepoint/v3/contenttype/forms"/>
  </ds:schemaRefs>
</ds:datastoreItem>
</file>

<file path=customXml/itemProps4.xml><?xml version="1.0" encoding="utf-8"?>
<ds:datastoreItem xmlns:ds="http://schemas.openxmlformats.org/officeDocument/2006/customXml" ds:itemID="{D849403B-F7E3-4C64-99F9-890E3D501016}">
  <ds:schemaRefs>
    <ds:schemaRef ds:uri="http://schemas.microsoft.com/office/2006/metadata/properties"/>
    <ds:schemaRef ds:uri="http://schemas.microsoft.com/office/infopath/2007/PartnerControls"/>
    <ds:schemaRef ds:uri="6b5cf5de-e756-4d12-8eb8-82cb6e65be97"/>
    <ds:schemaRef ds:uri="030c72e7-3aa2-44cc-97bb-c6be253ab304"/>
  </ds:schemaRefs>
</ds:datastoreItem>
</file>

<file path=customXml/itemProps5.xml><?xml version="1.0" encoding="utf-8"?>
<ds:datastoreItem xmlns:ds="http://schemas.openxmlformats.org/officeDocument/2006/customXml" ds:itemID="{8E5A9219-03C3-4918-9980-52D967D71169}">
  <ds:schemaRefs>
    <ds:schemaRef ds:uri="http://www.imanage.com/work/xmlschema"/>
  </ds:schemaRefs>
</ds:datastoreItem>
</file>

<file path=customXml/itemProps6.xml><?xml version="1.0" encoding="utf-8"?>
<ds:datastoreItem xmlns:ds="http://schemas.openxmlformats.org/officeDocument/2006/customXml" ds:itemID="{227C4FB2-C545-4F62-AF45-546CAC466756}"/>
</file>

<file path=customXml/itemProps7.xml><?xml version="1.0" encoding="utf-8"?>
<ds:datastoreItem xmlns:ds="http://schemas.openxmlformats.org/officeDocument/2006/customXml" ds:itemID="{FF8B8E1A-D719-45E4-8918-AD6331EDEFF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Redwing Sinking Fund Policy</dc:title>
  <dc:subject>Strategy titl</dc:subject>
  <dc:creator>Jamie Etherington</dc:creator>
  <cp:keywords/>
  <dc:description/>
  <cp:lastModifiedBy>Hollie Speed</cp:lastModifiedBy>
  <cp:revision>29</cp:revision>
  <dcterms:created xsi:type="dcterms:W3CDTF">2025-07-25T13:13:00Z</dcterms:created>
  <dcterms:modified xsi:type="dcterms:W3CDTF">2026-04-01T13:34:09Z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0x0101008F0C6ADB2B91014A8C6FC51924D95DC904009357A7B32753EA4F95B5DDCED1A383FC</vt:lpwstr>
  </property>
  <property fmtid="{D5CDD505-2E9C-101B-9397-08002B2CF9AE}" pid="3" name="MediaServiceImageTags">
    <vt:lpwstr/>
  </property>
  <property fmtid="{D5CDD505-2E9C-101B-9397-08002B2CF9AE}" pid="4" name="docLang">
    <vt:lpwstr>en</vt:lpwstr>
  </property>
  <property fmtid="{D5CDD505-2E9C-101B-9397-08002B2CF9AE}" pid="5" name="EIA Completion Date">
    <vt:filetime>2025-09-29T23:00:00Z</vt:filetime>
  </property>
  <property fmtid="{D5CDD505-2E9C-101B-9397-08002B2CF9AE}" pid="6" name="_dlc_DocIdItemGuid">
    <vt:lpwstr>b32a90a9-fcca-42df-8c24-3a1da424e5e8</vt:lpwstr>
  </property>
  <property fmtid="{D5CDD505-2E9C-101B-9397-08002B2CF9AE}" pid="7" name="Legislation0">
    <vt:lpwstr>170;#Landlord and Tenant Act 1985 and 1987|2212c5c7-7b58-4fc4-9de1-acc0eb39152d;#147;#Housing Act 1988|37994c57-b4d4-48ed-bf1c-8a998ad440a7;#153;#Housing Act 1996|0143596d-26d3-4c6c-bddb-011a5b0c9830;#188;#Commonhold and Leasehold Reform Act 2000|8c414fcb-09e2-4077-b5c2-9bd60859bc35;#25;#Equality Act 2010|d061fe83-c046-4026-bff6-3290b0398088;#81;#General Data Protection Act 2018|b3238e2d-e5e0-45d3-abdc-066fc0339705;#302;#Building Safety Act 2022|88b08966-f22b-4756-8391-9089388a3627</vt:lpwstr>
  </property>
  <property fmtid="{D5CDD505-2E9C-101B-9397-08002B2CF9AE}" pid="8" name="DateApproved">
    <vt:filetime>2025-09-29T23:00:00Z</vt:filetime>
  </property>
  <property fmtid="{D5CDD505-2E9C-101B-9397-08002B2CF9AE}" pid="9" name="Discipline">
    <vt:lpwstr>31;#Redwing|c3f4c9ff-04aa-442a-bf77-66677b73ed99</vt:lpwstr>
  </property>
  <property fmtid="{D5CDD505-2E9C-101B-9397-08002B2CF9AE}" pid="10" name="Organisation">
    <vt:lpwstr>5;#Redwing|01a1450e-d78f-4c1e-a4fb-30399122cff6</vt:lpwstr>
  </property>
  <property fmtid="{D5CDD505-2E9C-101B-9397-08002B2CF9AE}" pid="11" name="DocumentScope">
    <vt:lpwstr>5;#Redwing|01a1450e-d78f-4c1e-a4fb-30399122cff6</vt:lpwstr>
  </property>
  <property fmtid="{D5CDD505-2E9C-101B-9397-08002B2CF9AE}" pid="12" name="Team">
    <vt:lpwstr>30;#Redwing|2869a714-b47c-45f7-94eb-40774dcba9a5</vt:lpwstr>
  </property>
  <property fmtid="{D5CDD505-2E9C-101B-9397-08002B2CF9AE}" pid="13" name="ApprovedBy">
    <vt:lpwstr>10;#Executive Team|8cf64cc0-3f43-4d6b-aac2-66c3a09f1e26</vt:lpwstr>
  </property>
  <property fmtid="{D5CDD505-2E9C-101B-9397-08002B2CF9AE}" pid="14" name="EIA Completed">
    <vt:lpwstr>Yes</vt:lpwstr>
  </property>
</Properties>
</file>